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7" w:rsidRDefault="00A87A97" w:rsidP="00A87A97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CERTIFICATE OF COMPLIANCE</w:t>
      </w:r>
    </w:p>
    <w:p w:rsidR="00A87A97" w:rsidRDefault="00A87A97" w:rsidP="00A87A97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European </w:t>
      </w:r>
      <w:r w:rsidR="002A4AA0">
        <w:rPr>
          <w:rFonts w:ascii="Calibri,Bold" w:hAnsi="Calibri,Bold" w:cs="Calibri,Bold"/>
          <w:b/>
          <w:bCs/>
        </w:rPr>
        <w:t>RoHS</w:t>
      </w:r>
      <w:r w:rsidR="00911F1A">
        <w:rPr>
          <w:rFonts w:ascii="Calibri,Bold" w:hAnsi="Calibri,Bold" w:cs="Calibri,Bold"/>
          <w:b/>
          <w:bCs/>
        </w:rPr>
        <w:t xml:space="preserve">, </w:t>
      </w:r>
      <w:r w:rsidR="002A4AA0">
        <w:rPr>
          <w:rFonts w:ascii="Calibri,Bold" w:hAnsi="Calibri,Bold" w:cs="Calibri,Bold"/>
          <w:b/>
          <w:bCs/>
        </w:rPr>
        <w:t>REACH</w:t>
      </w:r>
    </w:p>
    <w:p w:rsidR="006C5E3B" w:rsidRDefault="006C5E3B" w:rsidP="00A87A97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US TSCA section 6(h)</w:t>
      </w:r>
    </w:p>
    <w:p w:rsidR="00A87A97" w:rsidRDefault="00A87A97" w:rsidP="00A87A97">
      <w:pPr>
        <w:pStyle w:val="Default"/>
        <w:rPr>
          <w:sz w:val="20"/>
          <w:szCs w:val="20"/>
        </w:rPr>
      </w:pPr>
    </w:p>
    <w:p w:rsidR="0020240A" w:rsidRDefault="00A87A97" w:rsidP="00DB0E1A">
      <w:pPr>
        <w:pStyle w:val="Default"/>
        <w:rPr>
          <w:rFonts w:ascii="Calibri" w:hAnsi="Calibri"/>
          <w:sz w:val="22"/>
          <w:szCs w:val="22"/>
        </w:rPr>
      </w:pPr>
      <w:r w:rsidRPr="00A87A97">
        <w:rPr>
          <w:rFonts w:ascii="Calibri" w:hAnsi="Calibri"/>
          <w:sz w:val="22"/>
          <w:szCs w:val="22"/>
        </w:rPr>
        <w:t xml:space="preserve">TO: </w:t>
      </w:r>
      <w:r w:rsidR="00B46F6E">
        <w:rPr>
          <w:rFonts w:ascii="Calibri" w:hAnsi="Calibri"/>
          <w:sz w:val="22"/>
          <w:szCs w:val="22"/>
        </w:rPr>
        <w:t>The GoodBye Chain Group</w:t>
      </w:r>
      <w:r w:rsidR="00DB0E1A">
        <w:rPr>
          <w:rFonts w:ascii="Calibri" w:hAnsi="Calibri"/>
          <w:sz w:val="22"/>
          <w:szCs w:val="22"/>
        </w:rPr>
        <w:t>, on behalf of Johnson Outdoors</w:t>
      </w:r>
    </w:p>
    <w:p w:rsidR="00DB0E1A" w:rsidRPr="00A87A97" w:rsidRDefault="0020240A" w:rsidP="00DB0E1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FROM: </w:t>
      </w:r>
      <w:r w:rsidR="00DB0E1A">
        <w:rPr>
          <w:rFonts w:ascii="Calibri" w:hAnsi="Calibri"/>
          <w:sz w:val="22"/>
          <w:szCs w:val="22"/>
        </w:rPr>
        <w:tab/>
      </w:r>
      <w:r w:rsidRPr="0020240A">
        <w:rPr>
          <w:rFonts w:ascii="Calibri" w:hAnsi="Calibri" w:cs="Calibri"/>
          <w:color w:val="FF0000"/>
          <w:sz w:val="22"/>
          <w:szCs w:val="22"/>
          <w:u w:val="single"/>
        </w:rPr>
        <w:t>NAME OF SUPPLIER</w:t>
      </w:r>
      <w:r w:rsidR="00DB0E1A">
        <w:rPr>
          <w:rFonts w:ascii="Calibri" w:hAnsi="Calibri"/>
          <w:sz w:val="22"/>
          <w:szCs w:val="22"/>
        </w:rPr>
        <w:tab/>
      </w:r>
      <w:r w:rsidR="00DB0E1A">
        <w:rPr>
          <w:rFonts w:ascii="Calibri" w:hAnsi="Calibri"/>
          <w:sz w:val="22"/>
          <w:szCs w:val="22"/>
        </w:rPr>
        <w:tab/>
      </w:r>
      <w:r w:rsidR="00DB0E1A" w:rsidRPr="00A87A97">
        <w:rPr>
          <w:rFonts w:ascii="Calibri" w:hAnsi="Calibri"/>
          <w:sz w:val="22"/>
          <w:szCs w:val="22"/>
        </w:rPr>
        <w:t xml:space="preserve"> </w:t>
      </w:r>
    </w:p>
    <w:p w:rsidR="000F20F4" w:rsidRDefault="000F20F4" w:rsidP="00A87A97">
      <w:pPr>
        <w:pStyle w:val="Default"/>
        <w:rPr>
          <w:rFonts w:ascii="Calibri" w:hAnsi="Calibri"/>
          <w:sz w:val="22"/>
          <w:szCs w:val="22"/>
          <w:u w:val="single"/>
        </w:rPr>
      </w:pPr>
    </w:p>
    <w:p w:rsidR="00A21416" w:rsidRPr="00014FC0" w:rsidRDefault="002A4AA0" w:rsidP="00A87A97">
      <w:pPr>
        <w:pStyle w:val="Default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EU RoHS</w:t>
      </w:r>
      <w:r w:rsidR="006C5E3B">
        <w:rPr>
          <w:rFonts w:ascii="Calibri" w:hAnsi="Calibri"/>
          <w:b/>
          <w:sz w:val="22"/>
          <w:szCs w:val="22"/>
          <w:u w:val="single"/>
        </w:rPr>
        <w:t>,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="00A21416" w:rsidRPr="00014FC0">
        <w:rPr>
          <w:rFonts w:ascii="Calibri" w:hAnsi="Calibri"/>
          <w:b/>
          <w:sz w:val="22"/>
          <w:szCs w:val="22"/>
          <w:u w:val="single"/>
        </w:rPr>
        <w:t>REACH</w:t>
      </w:r>
      <w:r w:rsidR="006C5E3B">
        <w:rPr>
          <w:rFonts w:ascii="Calibri" w:hAnsi="Calibri"/>
          <w:b/>
          <w:sz w:val="22"/>
          <w:szCs w:val="22"/>
          <w:u w:val="single"/>
        </w:rPr>
        <w:t xml:space="preserve"> and TSCA</w:t>
      </w:r>
      <w:r w:rsidR="00A21416" w:rsidRPr="00014FC0">
        <w:rPr>
          <w:rFonts w:ascii="Calibri" w:hAnsi="Calibri"/>
          <w:b/>
          <w:sz w:val="22"/>
          <w:szCs w:val="22"/>
          <w:u w:val="single"/>
        </w:rPr>
        <w:t xml:space="preserve"> Compliance: </w:t>
      </w:r>
    </w:p>
    <w:p w:rsidR="00A87A97" w:rsidRPr="001A4939" w:rsidRDefault="00A87A97" w:rsidP="00A87A97">
      <w:pPr>
        <w:pStyle w:val="Default"/>
        <w:rPr>
          <w:rFonts w:ascii="Calibri" w:hAnsi="Calibri"/>
          <w:sz w:val="22"/>
          <w:szCs w:val="22"/>
        </w:rPr>
      </w:pPr>
      <w:r w:rsidRPr="001A4939">
        <w:rPr>
          <w:rFonts w:ascii="Calibri" w:hAnsi="Calibri"/>
          <w:sz w:val="22"/>
          <w:szCs w:val="22"/>
        </w:rPr>
        <w:t>This communication is to assist with identifying the presence, if any, of</w:t>
      </w:r>
      <w:r w:rsidR="00C86BE6">
        <w:rPr>
          <w:rFonts w:ascii="Calibri" w:hAnsi="Calibri"/>
          <w:sz w:val="22"/>
          <w:szCs w:val="22"/>
        </w:rPr>
        <w:t xml:space="preserve"> EU</w:t>
      </w:r>
      <w:r w:rsidR="002A4AA0">
        <w:rPr>
          <w:rFonts w:ascii="Calibri" w:hAnsi="Calibri"/>
          <w:sz w:val="22"/>
          <w:szCs w:val="22"/>
        </w:rPr>
        <w:t xml:space="preserve"> RoHS restricted substances</w:t>
      </w:r>
      <w:r w:rsidR="006C5E3B">
        <w:rPr>
          <w:rFonts w:ascii="Calibri" w:hAnsi="Calibri"/>
          <w:sz w:val="22"/>
          <w:szCs w:val="22"/>
        </w:rPr>
        <w:t>,</w:t>
      </w:r>
      <w:r w:rsidR="002A4AA0">
        <w:rPr>
          <w:rFonts w:ascii="Calibri" w:hAnsi="Calibri"/>
          <w:sz w:val="22"/>
          <w:szCs w:val="22"/>
        </w:rPr>
        <w:t xml:space="preserve"> </w:t>
      </w:r>
      <w:r w:rsidR="00C86BE6">
        <w:rPr>
          <w:rFonts w:ascii="Calibri" w:hAnsi="Calibri"/>
          <w:sz w:val="22"/>
          <w:szCs w:val="22"/>
        </w:rPr>
        <w:t xml:space="preserve">EU </w:t>
      </w:r>
      <w:r w:rsidR="002A4AA0">
        <w:rPr>
          <w:rFonts w:ascii="Calibri" w:hAnsi="Calibri"/>
          <w:sz w:val="22"/>
          <w:szCs w:val="22"/>
        </w:rPr>
        <w:t>REACH</w:t>
      </w:r>
      <w:r w:rsidRPr="001A4939">
        <w:rPr>
          <w:rFonts w:ascii="Calibri" w:hAnsi="Calibri"/>
          <w:sz w:val="22"/>
          <w:szCs w:val="22"/>
        </w:rPr>
        <w:t xml:space="preserve"> SVHC </w:t>
      </w:r>
      <w:r w:rsidR="001A4939">
        <w:rPr>
          <w:rFonts w:ascii="Calibri" w:hAnsi="Calibri"/>
          <w:sz w:val="22"/>
          <w:szCs w:val="22"/>
        </w:rPr>
        <w:t xml:space="preserve">and RSL </w:t>
      </w:r>
      <w:r w:rsidRPr="001A4939">
        <w:rPr>
          <w:rFonts w:ascii="Calibri" w:hAnsi="Calibri"/>
          <w:sz w:val="22"/>
          <w:szCs w:val="22"/>
        </w:rPr>
        <w:t>substances</w:t>
      </w:r>
      <w:r w:rsidR="006C5E3B">
        <w:rPr>
          <w:rFonts w:ascii="Calibri" w:hAnsi="Calibri"/>
          <w:sz w:val="22"/>
          <w:szCs w:val="22"/>
        </w:rPr>
        <w:t>, and US TSCA 5 restricted substances</w:t>
      </w:r>
      <w:r w:rsidRPr="001A4939">
        <w:rPr>
          <w:rFonts w:ascii="Calibri" w:hAnsi="Calibri"/>
          <w:sz w:val="22"/>
          <w:szCs w:val="22"/>
        </w:rPr>
        <w:t xml:space="preserve"> in the </w:t>
      </w:r>
      <w:r w:rsidR="00C86BE6">
        <w:rPr>
          <w:rFonts w:ascii="Calibri" w:hAnsi="Calibri"/>
          <w:sz w:val="22"/>
          <w:szCs w:val="22"/>
        </w:rPr>
        <w:t xml:space="preserve">parts, </w:t>
      </w:r>
      <w:r w:rsidRPr="001A4939">
        <w:rPr>
          <w:rFonts w:ascii="Calibri" w:hAnsi="Calibri"/>
          <w:sz w:val="22"/>
          <w:szCs w:val="22"/>
        </w:rPr>
        <w:t>products</w:t>
      </w:r>
      <w:r w:rsidR="00C86BE6">
        <w:rPr>
          <w:rFonts w:ascii="Calibri" w:hAnsi="Calibri"/>
          <w:sz w:val="22"/>
          <w:szCs w:val="22"/>
        </w:rPr>
        <w:t xml:space="preserve">, and/or materials that </w:t>
      </w:r>
      <w:r w:rsidR="00B46F6E" w:rsidRPr="001A4939">
        <w:rPr>
          <w:rFonts w:ascii="Calibri" w:hAnsi="Calibri"/>
          <w:sz w:val="22"/>
          <w:szCs w:val="22"/>
        </w:rPr>
        <w:t>we supply to Johnson Outdoors.</w:t>
      </w:r>
      <w:r w:rsidRPr="001A4939">
        <w:rPr>
          <w:rFonts w:ascii="Calibri" w:hAnsi="Calibri"/>
          <w:sz w:val="22"/>
          <w:szCs w:val="22"/>
        </w:rPr>
        <w:t xml:space="preserve"> </w:t>
      </w:r>
    </w:p>
    <w:p w:rsidR="00A87A97" w:rsidRPr="001A4939" w:rsidRDefault="00A87A97" w:rsidP="00A87A9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2A4AA0" w:rsidRPr="00014FC0" w:rsidRDefault="006C5E3B" w:rsidP="002A4AA0">
      <w:pPr>
        <w:spacing w:after="0"/>
        <w:ind w:right="-1080"/>
        <w:rPr>
          <w:b/>
          <w:u w:val="single"/>
        </w:rPr>
      </w:pPr>
      <w:r>
        <w:rPr>
          <w:b/>
          <w:u w:val="single"/>
        </w:rPr>
        <w:t xml:space="preserve">EU </w:t>
      </w:r>
      <w:r w:rsidR="002A4AA0" w:rsidRPr="00014FC0">
        <w:rPr>
          <w:b/>
          <w:u w:val="single"/>
        </w:rPr>
        <w:t xml:space="preserve">RoHS Compliance: </w:t>
      </w:r>
    </w:p>
    <w:p w:rsidR="00C62C92" w:rsidRDefault="00C62C92" w:rsidP="00C86BE6">
      <w:pPr>
        <w:spacing w:after="0"/>
        <w:jc w:val="both"/>
      </w:pPr>
      <w:r>
        <w:t>W</w:t>
      </w:r>
      <w:r w:rsidR="002A4AA0">
        <w:t>e certify that the part numbers referenced in this declaration are compliant with EU RoHS</w:t>
      </w:r>
      <w:r w:rsidR="003F1EE5">
        <w:t>2</w:t>
      </w:r>
      <w:r w:rsidR="002A4AA0">
        <w:t xml:space="preserve"> Directive </w:t>
      </w:r>
      <w:r w:rsidR="002A4AA0" w:rsidRPr="008B235C">
        <w:t>2011/65/</w:t>
      </w:r>
      <w:r w:rsidR="002A4AA0">
        <w:t xml:space="preserve">EU and do not exceed .1% </w:t>
      </w:r>
      <w:r w:rsidR="00260F69">
        <w:t xml:space="preserve">weight </w:t>
      </w:r>
      <w:r w:rsidR="002A4AA0">
        <w:t>by weight of</w:t>
      </w:r>
      <w:r w:rsidR="009251DC">
        <w:t xml:space="preserve"> the following substances unless an applicable RoHS exemption applies</w:t>
      </w:r>
      <w:r w:rsidR="002A4AA0">
        <w:t>: lead; mercury; hexavalent chromium; polybrominated biphenyls (PBBs); polybrominated</w:t>
      </w:r>
      <w:r w:rsidR="002A4AA0" w:rsidRPr="00E645D1">
        <w:t xml:space="preserve"> </w:t>
      </w:r>
      <w:r w:rsidR="002A4AA0">
        <w:t>diphenyl ethers (PBDEs); and do not exceed .01%</w:t>
      </w:r>
      <w:r w:rsidR="00260F69">
        <w:t xml:space="preserve"> weight</w:t>
      </w:r>
      <w:r w:rsidR="002A4AA0">
        <w:t xml:space="preserve"> by weight of cadmium</w:t>
      </w:r>
      <w:r w:rsidR="00F233E2" w:rsidRPr="00F233E2">
        <w:t xml:space="preserve"> </w:t>
      </w:r>
      <w:r w:rsidR="00F233E2">
        <w:t>unless an applicable RoHS exemption applies</w:t>
      </w:r>
      <w:r w:rsidR="002A4AA0">
        <w:t xml:space="preserve">. </w:t>
      </w:r>
      <w:r w:rsidR="00733CCC">
        <w:t>W</w:t>
      </w:r>
      <w:r>
        <w:t xml:space="preserve">e certify that the part numbers referenced in this declaration are compliant with </w:t>
      </w:r>
      <w:r w:rsidR="00733CCC">
        <w:t xml:space="preserve">RoHS </w:t>
      </w:r>
      <w:r>
        <w:t xml:space="preserve">EC Delegated Directive </w:t>
      </w:r>
      <w:r w:rsidRPr="00704C75">
        <w:rPr>
          <w:rFonts w:cs="Calibri"/>
        </w:rPr>
        <w:t>2015/863</w:t>
      </w:r>
      <w:r>
        <w:rPr>
          <w:rFonts w:cs="Calibri"/>
        </w:rPr>
        <w:t xml:space="preserve"> </w:t>
      </w:r>
      <w:r>
        <w:t xml:space="preserve">and do not exceed .1% </w:t>
      </w:r>
      <w:r w:rsidR="00260F69">
        <w:t xml:space="preserve">weight </w:t>
      </w:r>
      <w:r>
        <w:t xml:space="preserve">by weight of phthalates: </w:t>
      </w:r>
      <w:r w:rsidRPr="00704C75">
        <w:t>Bis (2-ethylhexyl) phthalate (DEHP)</w:t>
      </w:r>
      <w:r>
        <w:t xml:space="preserve">; </w:t>
      </w:r>
      <w:r w:rsidRPr="00704C75">
        <w:t>Butyl benzyl phthalate (BBP)</w:t>
      </w:r>
      <w:r>
        <w:t>;</w:t>
      </w:r>
      <w:r w:rsidRPr="00E645D1">
        <w:t xml:space="preserve"> </w:t>
      </w:r>
      <w:r w:rsidRPr="00704C75">
        <w:t>Dibutyl</w:t>
      </w:r>
      <w:r>
        <w:t xml:space="preserve"> </w:t>
      </w:r>
      <w:r w:rsidRPr="00704C75">
        <w:t>phthalate (DBP)</w:t>
      </w:r>
      <w:r>
        <w:t xml:space="preserve">; and </w:t>
      </w:r>
      <w:r w:rsidRPr="00704C75">
        <w:t>Diisobutyl phthalate (DIBP)</w:t>
      </w:r>
      <w:r>
        <w:t>.</w:t>
      </w:r>
    </w:p>
    <w:p w:rsidR="00C62C92" w:rsidRDefault="00C62C92" w:rsidP="002A4AA0">
      <w:pPr>
        <w:spacing w:after="0"/>
        <w:jc w:val="both"/>
      </w:pPr>
    </w:p>
    <w:p w:rsidR="00C62C92" w:rsidRDefault="002A4AA0" w:rsidP="002A4AA0">
      <w:pPr>
        <w:spacing w:after="0"/>
        <w:jc w:val="both"/>
      </w:pPr>
      <w:r>
        <w:t xml:space="preserve">These content percentages represent maximum concentration levels of </w:t>
      </w:r>
      <w:r w:rsidR="001177D2">
        <w:t xml:space="preserve">homogeneous </w:t>
      </w:r>
      <w:r>
        <w:t xml:space="preserve">materials. We certify that this declaration will include any applicable RoHS exemptions. We certify that we will notify The GoodBye Chain Group on behalf of Johnson Outdoors of the presence of </w:t>
      </w:r>
      <w:r w:rsidRPr="00733CCC">
        <w:t>any future RoHS restricted substances</w:t>
      </w:r>
      <w:r>
        <w:t xml:space="preserve"> over .1% of </w:t>
      </w:r>
      <w:r w:rsidR="001177D2">
        <w:t xml:space="preserve">homogeneous </w:t>
      </w:r>
      <w:r>
        <w:t>material weight and applicable exemptions</w:t>
      </w:r>
      <w:r w:rsidR="00C62C92">
        <w:t>.</w:t>
      </w:r>
    </w:p>
    <w:p w:rsidR="002A4AA0" w:rsidRDefault="002A4AA0" w:rsidP="00A87A97">
      <w:pPr>
        <w:pStyle w:val="Default"/>
        <w:rPr>
          <w:rFonts w:ascii="Calibri" w:hAnsi="Calibri"/>
          <w:bCs/>
          <w:sz w:val="22"/>
          <w:szCs w:val="22"/>
          <w:u w:val="single"/>
        </w:rPr>
      </w:pPr>
    </w:p>
    <w:p w:rsidR="002A4AA0" w:rsidRPr="00014FC0" w:rsidRDefault="006C5E3B" w:rsidP="002A4AA0">
      <w:pPr>
        <w:spacing w:after="0"/>
        <w:ind w:right="-1080"/>
        <w:rPr>
          <w:b/>
          <w:u w:val="single"/>
        </w:rPr>
      </w:pPr>
      <w:r>
        <w:rPr>
          <w:b/>
          <w:u w:val="single"/>
        </w:rPr>
        <w:t xml:space="preserve">EU </w:t>
      </w:r>
      <w:r w:rsidR="002A4AA0" w:rsidRPr="00014FC0">
        <w:rPr>
          <w:b/>
          <w:u w:val="single"/>
        </w:rPr>
        <w:t>R</w:t>
      </w:r>
      <w:r w:rsidR="002A4AA0">
        <w:rPr>
          <w:b/>
          <w:u w:val="single"/>
        </w:rPr>
        <w:t>EACH</w:t>
      </w:r>
      <w:r w:rsidR="002A4AA0" w:rsidRPr="00014FC0">
        <w:rPr>
          <w:b/>
          <w:u w:val="single"/>
        </w:rPr>
        <w:t xml:space="preserve"> Compliance: </w:t>
      </w:r>
    </w:p>
    <w:p w:rsidR="00A87A97" w:rsidRPr="009A0989" w:rsidRDefault="00A87A97" w:rsidP="00A87A97">
      <w:pPr>
        <w:pStyle w:val="Default"/>
        <w:rPr>
          <w:rFonts w:ascii="Calibri" w:hAnsi="Calibri"/>
          <w:sz w:val="22"/>
          <w:szCs w:val="22"/>
        </w:rPr>
      </w:pPr>
      <w:r w:rsidRPr="009A0989">
        <w:rPr>
          <w:rFonts w:ascii="Calibri" w:hAnsi="Calibri"/>
          <w:bCs/>
          <w:sz w:val="22"/>
          <w:szCs w:val="22"/>
          <w:u w:val="single"/>
        </w:rPr>
        <w:t>Substances of Very High Concern (SVHC)</w:t>
      </w:r>
      <w:r w:rsidR="00ED22F3" w:rsidRPr="009A0989">
        <w:rPr>
          <w:rFonts w:ascii="Calibri" w:hAnsi="Calibri"/>
          <w:bCs/>
          <w:sz w:val="22"/>
          <w:szCs w:val="22"/>
          <w:u w:val="single"/>
        </w:rPr>
        <w:t>:</w:t>
      </w:r>
    </w:p>
    <w:p w:rsidR="009404F8" w:rsidRPr="00A206BA" w:rsidRDefault="00A87A97" w:rsidP="00A87A97">
      <w:pPr>
        <w:pStyle w:val="Default"/>
        <w:rPr>
          <w:rFonts w:ascii="Calibri" w:hAnsi="Calibri"/>
          <w:color w:val="auto"/>
          <w:sz w:val="22"/>
          <w:szCs w:val="22"/>
        </w:rPr>
      </w:pPr>
      <w:r w:rsidRPr="001A4939">
        <w:rPr>
          <w:rFonts w:ascii="Calibri" w:hAnsi="Calibri"/>
          <w:sz w:val="22"/>
          <w:szCs w:val="22"/>
        </w:rPr>
        <w:t>REACH A</w:t>
      </w:r>
      <w:r w:rsidR="0024439D">
        <w:rPr>
          <w:rFonts w:ascii="Calibri" w:hAnsi="Calibri"/>
          <w:sz w:val="22"/>
          <w:szCs w:val="22"/>
        </w:rPr>
        <w:t xml:space="preserve">rticle 59 (10) of the EU </w:t>
      </w:r>
      <w:r w:rsidR="0024439D" w:rsidRPr="009F6F5E">
        <w:rPr>
          <w:rFonts w:asciiTheme="minorHAnsi" w:hAnsiTheme="minorHAnsi" w:cstheme="minorHAnsi"/>
          <w:sz w:val="22"/>
          <w:szCs w:val="22"/>
        </w:rPr>
        <w:t>REACH Regulation</w:t>
      </w:r>
      <w:r w:rsidR="009F6F5E" w:rsidRPr="009F6F5E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8" w:history="1">
        <w:r w:rsidR="009F6F5E" w:rsidRPr="009F6F5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(EC 1907/2006)</w:t>
        </w:r>
      </w:hyperlink>
      <w:r w:rsidR="009F6F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4439D" w:rsidRPr="009F6F5E">
        <w:rPr>
          <w:rFonts w:asciiTheme="minorHAnsi" w:hAnsiTheme="minorHAnsi" w:cstheme="minorHAnsi"/>
          <w:color w:val="auto"/>
          <w:sz w:val="22"/>
          <w:szCs w:val="22"/>
        </w:rPr>
        <w:t>includes publicatio</w:t>
      </w:r>
      <w:r w:rsidR="0024439D" w:rsidRPr="009F6F5E">
        <w:rPr>
          <w:rFonts w:asciiTheme="minorHAnsi" w:hAnsiTheme="minorHAnsi" w:cstheme="minorHAnsi"/>
          <w:sz w:val="22"/>
          <w:szCs w:val="22"/>
        </w:rPr>
        <w:t xml:space="preserve">n of </w:t>
      </w:r>
      <w:r w:rsidRPr="009F6F5E">
        <w:rPr>
          <w:rFonts w:asciiTheme="minorHAnsi" w:hAnsiTheme="minorHAnsi" w:cstheme="minorHAnsi"/>
          <w:sz w:val="22"/>
          <w:szCs w:val="22"/>
        </w:rPr>
        <w:t>the</w:t>
      </w:r>
      <w:r w:rsidRPr="001A4939">
        <w:rPr>
          <w:rFonts w:ascii="Calibri" w:hAnsi="Calibri"/>
          <w:sz w:val="22"/>
          <w:szCs w:val="22"/>
        </w:rPr>
        <w:t xml:space="preserve"> Candidate List of Substances of Very High Concern (SVHC) that </w:t>
      </w:r>
      <w:r w:rsidR="00396465" w:rsidRPr="001A4939">
        <w:rPr>
          <w:rFonts w:ascii="Calibri" w:hAnsi="Calibri"/>
          <w:sz w:val="22"/>
          <w:szCs w:val="22"/>
        </w:rPr>
        <w:t>is</w:t>
      </w:r>
      <w:r w:rsidRPr="001A4939">
        <w:rPr>
          <w:rFonts w:ascii="Calibri" w:hAnsi="Calibri"/>
          <w:sz w:val="22"/>
          <w:szCs w:val="22"/>
        </w:rPr>
        <w:t xml:space="preserve"> published by the </w:t>
      </w:r>
      <w:r w:rsidR="00ED22F3" w:rsidRPr="001A4939">
        <w:rPr>
          <w:rFonts w:ascii="Calibri" w:hAnsi="Calibri"/>
          <w:sz w:val="22"/>
          <w:szCs w:val="22"/>
        </w:rPr>
        <w:t>European Chemicals Agency (</w:t>
      </w:r>
      <w:r w:rsidRPr="001A4939">
        <w:rPr>
          <w:rFonts w:ascii="Calibri" w:hAnsi="Calibri"/>
          <w:sz w:val="22"/>
          <w:szCs w:val="22"/>
        </w:rPr>
        <w:t>ECHA</w:t>
      </w:r>
      <w:r w:rsidR="00ED22F3" w:rsidRPr="001A4939">
        <w:rPr>
          <w:rFonts w:ascii="Calibri" w:hAnsi="Calibri"/>
          <w:sz w:val="22"/>
          <w:szCs w:val="22"/>
        </w:rPr>
        <w:t xml:space="preserve">) </w:t>
      </w:r>
      <w:r w:rsidR="009404F8" w:rsidRPr="001A4939">
        <w:rPr>
          <w:rFonts w:ascii="Calibri" w:hAnsi="Calibri"/>
          <w:color w:val="auto"/>
          <w:sz w:val="22"/>
          <w:szCs w:val="22"/>
        </w:rPr>
        <w:t xml:space="preserve">located </w:t>
      </w:r>
      <w:r w:rsidR="009404F8" w:rsidRPr="00A206BA">
        <w:rPr>
          <w:rFonts w:ascii="Calibri" w:hAnsi="Calibri"/>
          <w:color w:val="auto"/>
          <w:sz w:val="22"/>
          <w:szCs w:val="22"/>
        </w:rPr>
        <w:t xml:space="preserve">at </w:t>
      </w:r>
      <w:hyperlink r:id="rId9" w:history="1">
        <w:r w:rsidR="009404F8" w:rsidRPr="00A2482C">
          <w:rPr>
            <w:rStyle w:val="Hyperlink"/>
            <w:rFonts w:ascii="Calibri" w:hAnsi="Calibri"/>
            <w:color w:val="auto"/>
            <w:sz w:val="22"/>
            <w:szCs w:val="22"/>
          </w:rPr>
          <w:t>http://echa.europa.eu/web/guest/candidate-list-table</w:t>
        </w:r>
      </w:hyperlink>
      <w:r w:rsidR="009404F8" w:rsidRPr="00A206BA">
        <w:rPr>
          <w:rFonts w:ascii="Calibri" w:hAnsi="Calibri"/>
          <w:color w:val="auto"/>
          <w:sz w:val="22"/>
          <w:szCs w:val="22"/>
        </w:rPr>
        <w:t xml:space="preserve"> and was last </w:t>
      </w:r>
      <w:r w:rsidR="009404F8" w:rsidRPr="00D22FC4">
        <w:rPr>
          <w:rFonts w:ascii="Calibri" w:hAnsi="Calibri"/>
          <w:color w:val="auto"/>
          <w:sz w:val="22"/>
          <w:szCs w:val="22"/>
        </w:rPr>
        <w:t>updated</w:t>
      </w:r>
      <w:r w:rsidR="00EC70D6" w:rsidRPr="00D22FC4">
        <w:rPr>
          <w:rFonts w:ascii="Calibri" w:hAnsi="Calibri"/>
          <w:color w:val="auto"/>
          <w:sz w:val="22"/>
          <w:szCs w:val="22"/>
        </w:rPr>
        <w:t xml:space="preserve"> </w:t>
      </w:r>
      <w:r w:rsidR="007C3665" w:rsidRPr="00D22FC4">
        <w:rPr>
          <w:rFonts w:ascii="Calibri" w:hAnsi="Calibri"/>
          <w:color w:val="auto"/>
          <w:sz w:val="22"/>
          <w:szCs w:val="22"/>
        </w:rPr>
        <w:t>J</w:t>
      </w:r>
      <w:r w:rsidR="00693B22" w:rsidRPr="00D22FC4">
        <w:rPr>
          <w:rFonts w:ascii="Calibri" w:hAnsi="Calibri"/>
          <w:color w:val="auto"/>
          <w:sz w:val="22"/>
          <w:szCs w:val="22"/>
        </w:rPr>
        <w:t>u</w:t>
      </w:r>
      <w:r w:rsidR="00C3480E" w:rsidRPr="00D22FC4">
        <w:rPr>
          <w:rFonts w:ascii="Calibri" w:hAnsi="Calibri"/>
          <w:color w:val="auto"/>
          <w:sz w:val="22"/>
          <w:szCs w:val="22"/>
        </w:rPr>
        <w:t>ly</w:t>
      </w:r>
      <w:r w:rsidR="00693B22" w:rsidRPr="00D22FC4">
        <w:rPr>
          <w:rFonts w:ascii="Calibri" w:hAnsi="Calibri"/>
          <w:color w:val="auto"/>
          <w:sz w:val="22"/>
          <w:szCs w:val="22"/>
        </w:rPr>
        <w:t xml:space="preserve"> </w:t>
      </w:r>
      <w:r w:rsidR="00D22FC4" w:rsidRPr="00D22FC4">
        <w:rPr>
          <w:rFonts w:ascii="Calibri" w:hAnsi="Calibri"/>
          <w:color w:val="auto"/>
          <w:sz w:val="22"/>
          <w:szCs w:val="22"/>
        </w:rPr>
        <w:t>8</w:t>
      </w:r>
      <w:r w:rsidR="00EF5592" w:rsidRPr="00D22FC4">
        <w:rPr>
          <w:rFonts w:ascii="Calibri" w:hAnsi="Calibri"/>
          <w:color w:val="auto"/>
          <w:sz w:val="22"/>
          <w:szCs w:val="22"/>
          <w:vertAlign w:val="superscript"/>
        </w:rPr>
        <w:t>th</w:t>
      </w:r>
      <w:r w:rsidR="00EF5592" w:rsidRPr="00D22FC4">
        <w:rPr>
          <w:rFonts w:ascii="Calibri" w:hAnsi="Calibri"/>
          <w:color w:val="auto"/>
          <w:sz w:val="22"/>
          <w:szCs w:val="22"/>
        </w:rPr>
        <w:t xml:space="preserve">, </w:t>
      </w:r>
      <w:r w:rsidR="00D01887" w:rsidRPr="00D22FC4">
        <w:rPr>
          <w:rFonts w:ascii="Calibri" w:hAnsi="Calibri"/>
          <w:color w:val="auto"/>
          <w:sz w:val="22"/>
          <w:szCs w:val="22"/>
        </w:rPr>
        <w:t>20</w:t>
      </w:r>
      <w:r w:rsidR="00903351" w:rsidRPr="00D22FC4">
        <w:rPr>
          <w:rFonts w:ascii="Calibri" w:hAnsi="Calibri"/>
          <w:color w:val="auto"/>
          <w:sz w:val="22"/>
          <w:szCs w:val="22"/>
        </w:rPr>
        <w:t>2</w:t>
      </w:r>
      <w:r w:rsidR="00B14997" w:rsidRPr="00D22FC4">
        <w:rPr>
          <w:rFonts w:ascii="Calibri" w:hAnsi="Calibri"/>
          <w:color w:val="auto"/>
          <w:sz w:val="22"/>
          <w:szCs w:val="22"/>
        </w:rPr>
        <w:t>1</w:t>
      </w:r>
      <w:r w:rsidR="009404F8" w:rsidRPr="00D22FC4">
        <w:rPr>
          <w:rFonts w:ascii="Calibri" w:hAnsi="Calibri"/>
          <w:color w:val="auto"/>
          <w:sz w:val="22"/>
          <w:szCs w:val="22"/>
        </w:rPr>
        <w:t>.</w:t>
      </w:r>
    </w:p>
    <w:p w:rsidR="009404F8" w:rsidRPr="001A4939" w:rsidRDefault="009404F8" w:rsidP="00A87A97">
      <w:pPr>
        <w:pStyle w:val="Default"/>
        <w:rPr>
          <w:rFonts w:ascii="Calibri" w:hAnsi="Calibri"/>
          <w:sz w:val="22"/>
          <w:szCs w:val="22"/>
        </w:rPr>
      </w:pPr>
    </w:p>
    <w:p w:rsidR="003B70E7" w:rsidRPr="009A0989" w:rsidRDefault="003B70E7" w:rsidP="003B70E7">
      <w:pPr>
        <w:pStyle w:val="Default"/>
        <w:rPr>
          <w:rFonts w:ascii="Calibri" w:hAnsi="Calibri"/>
          <w:sz w:val="22"/>
          <w:szCs w:val="22"/>
          <w:u w:val="single"/>
        </w:rPr>
      </w:pPr>
      <w:r w:rsidRPr="009A0989">
        <w:rPr>
          <w:rFonts w:ascii="Calibri" w:hAnsi="Calibri"/>
          <w:sz w:val="22"/>
          <w:szCs w:val="22"/>
          <w:u w:val="single"/>
        </w:rPr>
        <w:t>Restricted Substances:</w:t>
      </w:r>
    </w:p>
    <w:p w:rsidR="007A6123" w:rsidRPr="00C86BE6" w:rsidRDefault="003B70E7" w:rsidP="007A612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86BE6">
        <w:rPr>
          <w:rFonts w:asciiTheme="minorHAnsi" w:hAnsiTheme="minorHAnsi" w:cstheme="minorHAnsi"/>
          <w:color w:val="auto"/>
          <w:sz w:val="22"/>
          <w:szCs w:val="22"/>
        </w:rPr>
        <w:t xml:space="preserve">REACH Annex XVII is the Restricted Substance List (RSL) published by the European Commission that identifies restrictive conditions of certain chemical substances, mixtures, and articles located at: </w:t>
      </w:r>
      <w:hyperlink r:id="rId10" w:history="1">
        <w:r w:rsidR="007A6123" w:rsidRPr="00C86BE6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https://echa.europa.eu/substances-restricted-under-reach</w:t>
        </w:r>
      </w:hyperlink>
    </w:p>
    <w:p w:rsidR="00A578D4" w:rsidRPr="004044A4" w:rsidRDefault="00A578D4" w:rsidP="003B70E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250EE" w:rsidRPr="001A4939" w:rsidRDefault="00E250EE" w:rsidP="00E250EE">
      <w:pPr>
        <w:pStyle w:val="Default"/>
        <w:jc w:val="both"/>
        <w:rPr>
          <w:rFonts w:ascii="Calibri" w:hAnsi="Calibri"/>
          <w:sz w:val="22"/>
          <w:szCs w:val="22"/>
        </w:rPr>
      </w:pPr>
      <w:r w:rsidRPr="001A4939">
        <w:rPr>
          <w:rFonts w:ascii="Calibri" w:hAnsi="Calibri"/>
          <w:sz w:val="22"/>
          <w:szCs w:val="22"/>
        </w:rPr>
        <w:t>This certif</w:t>
      </w:r>
      <w:r w:rsidR="00C86BE6">
        <w:rPr>
          <w:rFonts w:ascii="Calibri" w:hAnsi="Calibri"/>
          <w:sz w:val="22"/>
          <w:szCs w:val="22"/>
        </w:rPr>
        <w:t>ies,</w:t>
      </w:r>
      <w:r w:rsidRPr="001A4939">
        <w:rPr>
          <w:rFonts w:ascii="Calibri" w:hAnsi="Calibri"/>
          <w:sz w:val="22"/>
          <w:szCs w:val="22"/>
        </w:rPr>
        <w:t xml:space="preserve"> to the best of our knowledge</w:t>
      </w:r>
      <w:r w:rsidR="00C86BE6">
        <w:rPr>
          <w:rFonts w:ascii="Calibri" w:hAnsi="Calibri"/>
          <w:sz w:val="22"/>
          <w:szCs w:val="22"/>
        </w:rPr>
        <w:t>, that</w:t>
      </w:r>
      <w:r>
        <w:rPr>
          <w:rFonts w:ascii="Calibri" w:hAnsi="Calibri"/>
          <w:sz w:val="22"/>
          <w:szCs w:val="22"/>
        </w:rPr>
        <w:t>:</w:t>
      </w:r>
      <w:r w:rsidRPr="001A4939">
        <w:rPr>
          <w:rFonts w:ascii="Calibri" w:hAnsi="Calibri"/>
          <w:sz w:val="22"/>
          <w:szCs w:val="22"/>
        </w:rPr>
        <w:t xml:space="preserve"> the chemicals on the Candidate List of S</w:t>
      </w:r>
      <w:r w:rsidR="00733CCC">
        <w:rPr>
          <w:rFonts w:ascii="Calibri" w:hAnsi="Calibri"/>
          <w:sz w:val="22"/>
          <w:szCs w:val="22"/>
        </w:rPr>
        <w:t>VHCs</w:t>
      </w:r>
      <w:r w:rsidRPr="001A4939">
        <w:rPr>
          <w:rFonts w:ascii="Calibri" w:hAnsi="Calibri"/>
          <w:sz w:val="22"/>
          <w:szCs w:val="22"/>
        </w:rPr>
        <w:t xml:space="preserve"> referenced above are not intentionally added or present in the following </w:t>
      </w:r>
      <w:r w:rsidR="00C86BE6">
        <w:rPr>
          <w:rFonts w:ascii="Calibri" w:hAnsi="Calibri"/>
          <w:sz w:val="22"/>
          <w:szCs w:val="22"/>
        </w:rPr>
        <w:t xml:space="preserve">parts, </w:t>
      </w:r>
      <w:r w:rsidRPr="001A4939">
        <w:rPr>
          <w:rFonts w:ascii="Calibri" w:hAnsi="Calibri"/>
          <w:sz w:val="22"/>
          <w:szCs w:val="22"/>
        </w:rPr>
        <w:t>products</w:t>
      </w:r>
      <w:r>
        <w:rPr>
          <w:rFonts w:ascii="Calibri" w:hAnsi="Calibri"/>
          <w:sz w:val="22"/>
          <w:szCs w:val="22"/>
        </w:rPr>
        <w:t>,</w:t>
      </w:r>
      <w:r w:rsidRPr="001A4939">
        <w:rPr>
          <w:rFonts w:ascii="Calibri" w:hAnsi="Calibri"/>
          <w:sz w:val="22"/>
          <w:szCs w:val="22"/>
        </w:rPr>
        <w:t xml:space="preserve"> </w:t>
      </w:r>
      <w:r w:rsidRPr="003B555E">
        <w:rPr>
          <w:rFonts w:ascii="Calibri" w:hAnsi="Calibri"/>
          <w:sz w:val="22"/>
          <w:szCs w:val="22"/>
          <w:u w:val="single"/>
        </w:rPr>
        <w:t xml:space="preserve">or </w:t>
      </w:r>
      <w:r w:rsidR="00A847B4">
        <w:rPr>
          <w:rFonts w:ascii="Calibri" w:hAnsi="Calibri"/>
          <w:sz w:val="22"/>
          <w:szCs w:val="22"/>
          <w:u w:val="single"/>
        </w:rPr>
        <w:t>constituent</w:t>
      </w:r>
      <w:r w:rsidR="00677FC3">
        <w:rPr>
          <w:rFonts w:ascii="Calibri" w:hAnsi="Calibri"/>
          <w:sz w:val="22"/>
          <w:szCs w:val="22"/>
          <w:u w:val="single"/>
        </w:rPr>
        <w:t>/component</w:t>
      </w:r>
      <w:r w:rsidR="00A847B4">
        <w:rPr>
          <w:rFonts w:ascii="Calibri" w:hAnsi="Calibri"/>
          <w:sz w:val="22"/>
          <w:szCs w:val="22"/>
          <w:u w:val="single"/>
        </w:rPr>
        <w:t xml:space="preserve"> </w:t>
      </w:r>
      <w:r w:rsidRPr="003B555E">
        <w:rPr>
          <w:rFonts w:ascii="Calibri" w:hAnsi="Calibri"/>
          <w:sz w:val="22"/>
          <w:szCs w:val="22"/>
          <w:u w:val="single"/>
        </w:rPr>
        <w:t xml:space="preserve">articles within these </w:t>
      </w:r>
      <w:r>
        <w:rPr>
          <w:rFonts w:ascii="Calibri" w:hAnsi="Calibri"/>
          <w:sz w:val="22"/>
          <w:szCs w:val="22"/>
          <w:u w:val="single"/>
        </w:rPr>
        <w:t>parts/</w:t>
      </w:r>
      <w:r w:rsidRPr="003B555E">
        <w:rPr>
          <w:rFonts w:ascii="Calibri" w:hAnsi="Calibri"/>
          <w:sz w:val="22"/>
          <w:szCs w:val="22"/>
          <w:u w:val="single"/>
        </w:rPr>
        <w:t>products</w:t>
      </w:r>
      <w:r>
        <w:rPr>
          <w:rFonts w:ascii="Calibri" w:hAnsi="Calibri"/>
          <w:sz w:val="22"/>
          <w:szCs w:val="22"/>
        </w:rPr>
        <w:t xml:space="preserve">, </w:t>
      </w:r>
      <w:r w:rsidRPr="001A4939">
        <w:rPr>
          <w:rFonts w:ascii="Calibri" w:hAnsi="Calibri"/>
          <w:sz w:val="22"/>
          <w:szCs w:val="22"/>
        </w:rPr>
        <w:t xml:space="preserve">at a concentration </w:t>
      </w:r>
      <w:r w:rsidR="00C86BE6">
        <w:rPr>
          <w:rFonts w:ascii="Calibri" w:hAnsi="Calibri"/>
          <w:sz w:val="22"/>
          <w:szCs w:val="22"/>
        </w:rPr>
        <w:t xml:space="preserve">greater than </w:t>
      </w:r>
      <w:r w:rsidRPr="001A4939">
        <w:rPr>
          <w:rFonts w:ascii="Calibri" w:hAnsi="Calibri"/>
          <w:sz w:val="22"/>
          <w:szCs w:val="22"/>
        </w:rPr>
        <w:t xml:space="preserve">.1% weight by weight </w:t>
      </w:r>
      <w:r>
        <w:rPr>
          <w:rFonts w:ascii="Calibri" w:hAnsi="Calibri"/>
          <w:sz w:val="22"/>
          <w:szCs w:val="22"/>
        </w:rPr>
        <w:t>unless specified at the end of this declaration in the REACH Information; and the products</w:t>
      </w:r>
      <w:r w:rsidR="00C86BE6">
        <w:rPr>
          <w:rFonts w:ascii="Calibri" w:hAnsi="Calibri"/>
          <w:sz w:val="22"/>
          <w:szCs w:val="22"/>
        </w:rPr>
        <w:t xml:space="preserve"> listed in this declaration</w:t>
      </w:r>
      <w:r>
        <w:rPr>
          <w:rFonts w:ascii="Calibri" w:hAnsi="Calibri"/>
          <w:sz w:val="22"/>
          <w:szCs w:val="22"/>
        </w:rPr>
        <w:t xml:space="preserve"> are not in violation of the conditions</w:t>
      </w:r>
      <w:r w:rsidRPr="001A4939">
        <w:rPr>
          <w:rFonts w:ascii="Calibri" w:hAnsi="Calibri"/>
          <w:color w:val="auto"/>
          <w:sz w:val="22"/>
          <w:szCs w:val="22"/>
        </w:rPr>
        <w:t xml:space="preserve"> of restriction outlined in Annex XVII and subsequent amendments</w:t>
      </w:r>
      <w:r w:rsidR="00C86BE6">
        <w:rPr>
          <w:rFonts w:ascii="Calibri" w:hAnsi="Calibri"/>
          <w:color w:val="auto"/>
          <w:sz w:val="22"/>
          <w:szCs w:val="22"/>
        </w:rPr>
        <w:t>.</w:t>
      </w:r>
      <w:r w:rsidRPr="001A4939">
        <w:rPr>
          <w:rFonts w:ascii="Calibri" w:hAnsi="Calibri"/>
          <w:sz w:val="22"/>
          <w:szCs w:val="22"/>
        </w:rPr>
        <w:t xml:space="preserve"> </w:t>
      </w:r>
    </w:p>
    <w:p w:rsidR="00677554" w:rsidRDefault="00677554" w:rsidP="00DB0E1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B0E1A" w:rsidRPr="001A4939" w:rsidRDefault="00DB0E1A" w:rsidP="00DB0E1A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declaration also certifies that we a</w:t>
      </w:r>
      <w:r w:rsidRPr="00DB0E1A">
        <w:rPr>
          <w:rFonts w:ascii="Calibri" w:hAnsi="Calibri" w:cs="Calibri"/>
          <w:sz w:val="22"/>
          <w:szCs w:val="22"/>
        </w:rPr>
        <w:t xml:space="preserve">gree to notify The GoodBye Chain Group on behalf of Johnson Outdoors </w:t>
      </w:r>
      <w:r>
        <w:rPr>
          <w:rFonts w:ascii="Calibri" w:hAnsi="Calibri" w:cs="Calibri"/>
          <w:sz w:val="22"/>
          <w:szCs w:val="22"/>
        </w:rPr>
        <w:t>o</w:t>
      </w:r>
      <w:r w:rsidRPr="00DB0E1A">
        <w:rPr>
          <w:rFonts w:ascii="Calibri" w:hAnsi="Calibri" w:cs="Calibri"/>
          <w:sz w:val="22"/>
          <w:szCs w:val="22"/>
        </w:rPr>
        <w:t xml:space="preserve">f any future SVHC substance or RSL substance </w:t>
      </w:r>
      <w:r>
        <w:rPr>
          <w:rFonts w:ascii="Calibri" w:hAnsi="Calibri" w:cs="Calibri"/>
          <w:sz w:val="22"/>
          <w:szCs w:val="22"/>
        </w:rPr>
        <w:t xml:space="preserve">that </w:t>
      </w:r>
      <w:r w:rsidRPr="00DB0E1A">
        <w:rPr>
          <w:rFonts w:ascii="Calibri" w:hAnsi="Calibri" w:cs="Calibri"/>
          <w:sz w:val="22"/>
          <w:szCs w:val="22"/>
        </w:rPr>
        <w:t xml:space="preserve">is present in these </w:t>
      </w:r>
      <w:r w:rsidR="00C86BE6">
        <w:rPr>
          <w:rFonts w:ascii="Calibri" w:hAnsi="Calibri" w:cs="Calibri"/>
          <w:sz w:val="22"/>
          <w:szCs w:val="22"/>
        </w:rPr>
        <w:t xml:space="preserve">parts, </w:t>
      </w:r>
      <w:r w:rsidRPr="00DB0E1A">
        <w:rPr>
          <w:rFonts w:ascii="Calibri" w:hAnsi="Calibri" w:cs="Calibri"/>
          <w:sz w:val="22"/>
          <w:szCs w:val="22"/>
        </w:rPr>
        <w:t>products</w:t>
      </w:r>
      <w:r w:rsidR="00C86BE6">
        <w:rPr>
          <w:rFonts w:ascii="Calibri" w:hAnsi="Calibri" w:cs="Calibri"/>
          <w:sz w:val="22"/>
          <w:szCs w:val="22"/>
        </w:rPr>
        <w:t xml:space="preserve"> or articles within these parts/products</w:t>
      </w:r>
      <w:r w:rsidRPr="00DB0E1A">
        <w:rPr>
          <w:rFonts w:ascii="Calibri" w:hAnsi="Calibri" w:cs="Calibri"/>
          <w:sz w:val="22"/>
          <w:szCs w:val="22"/>
        </w:rPr>
        <w:t xml:space="preserve"> </w:t>
      </w:r>
      <w:r w:rsidRPr="00DB0E1A">
        <w:rPr>
          <w:rFonts w:ascii="Calibri" w:hAnsi="Calibri"/>
          <w:sz w:val="22"/>
          <w:szCs w:val="22"/>
        </w:rPr>
        <w:t xml:space="preserve">at a concentration </w:t>
      </w:r>
      <w:r w:rsidR="00C86BE6">
        <w:rPr>
          <w:rFonts w:ascii="Calibri" w:hAnsi="Calibri"/>
          <w:sz w:val="22"/>
          <w:szCs w:val="22"/>
        </w:rPr>
        <w:t>greater than</w:t>
      </w:r>
      <w:r w:rsidRPr="00DB0E1A">
        <w:rPr>
          <w:rFonts w:ascii="Calibri" w:hAnsi="Calibri"/>
          <w:sz w:val="22"/>
          <w:szCs w:val="22"/>
        </w:rPr>
        <w:t xml:space="preserve"> 0.1% weight by weight </w:t>
      </w:r>
      <w:r>
        <w:rPr>
          <w:rFonts w:ascii="Calibri" w:hAnsi="Calibri"/>
          <w:sz w:val="22"/>
          <w:szCs w:val="22"/>
        </w:rPr>
        <w:t>and/or</w:t>
      </w:r>
      <w:r w:rsidRPr="00DB0E1A">
        <w:rPr>
          <w:rFonts w:ascii="Calibri" w:hAnsi="Calibri"/>
          <w:sz w:val="22"/>
          <w:szCs w:val="22"/>
        </w:rPr>
        <w:t xml:space="preserve"> are in violation of the conditions</w:t>
      </w:r>
      <w:r w:rsidRPr="00DB0E1A">
        <w:rPr>
          <w:rFonts w:ascii="Calibri" w:hAnsi="Calibri"/>
          <w:color w:val="auto"/>
          <w:sz w:val="22"/>
          <w:szCs w:val="22"/>
        </w:rPr>
        <w:t xml:space="preserve"> of restriction outlined in Annex</w:t>
      </w:r>
      <w:r w:rsidRPr="001A4939">
        <w:rPr>
          <w:rFonts w:ascii="Calibri" w:hAnsi="Calibri"/>
          <w:color w:val="auto"/>
          <w:sz w:val="22"/>
          <w:szCs w:val="22"/>
        </w:rPr>
        <w:t xml:space="preserve"> XVII and subsequent amendments</w:t>
      </w:r>
      <w:r>
        <w:rPr>
          <w:rFonts w:ascii="Calibri" w:hAnsi="Calibri"/>
          <w:color w:val="auto"/>
          <w:sz w:val="22"/>
          <w:szCs w:val="22"/>
        </w:rPr>
        <w:t xml:space="preserve">. </w:t>
      </w:r>
      <w:r w:rsidRPr="001A4939">
        <w:rPr>
          <w:rFonts w:ascii="Calibri" w:hAnsi="Calibri"/>
          <w:sz w:val="22"/>
          <w:szCs w:val="22"/>
        </w:rPr>
        <w:t xml:space="preserve"> </w:t>
      </w:r>
    </w:p>
    <w:p w:rsidR="00B55E63" w:rsidRDefault="00B55E63" w:rsidP="000C1988">
      <w:pPr>
        <w:spacing w:after="0"/>
        <w:ind w:right="-1080"/>
        <w:jc w:val="both"/>
      </w:pPr>
    </w:p>
    <w:p w:rsidR="006C5E3B" w:rsidRDefault="006C5E3B" w:rsidP="006C5E3B">
      <w:pPr>
        <w:pStyle w:val="Default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 Compliance with TSCA 5 Restricted Substances:</w:t>
      </w:r>
    </w:p>
    <w:p w:rsidR="00693B22" w:rsidRPr="006C5E3B" w:rsidRDefault="00693B22" w:rsidP="00693B2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January 2021 the US EPA issued final rules restricting five substances under The Toxic Substances Control Act (TSCA) under </w:t>
      </w:r>
      <w:r w:rsidRPr="006C5E3B">
        <w:rPr>
          <w:rFonts w:asciiTheme="minorHAnsi" w:hAnsiTheme="minorHAnsi" w:cstheme="minorHAnsi"/>
          <w:sz w:val="22"/>
          <w:szCs w:val="22"/>
        </w:rPr>
        <w:t>Section 6(h)</w:t>
      </w:r>
      <w:r>
        <w:rPr>
          <w:rFonts w:asciiTheme="minorHAnsi" w:hAnsiTheme="minorHAnsi" w:cstheme="minorHAnsi"/>
          <w:sz w:val="22"/>
          <w:szCs w:val="22"/>
        </w:rPr>
        <w:t xml:space="preserve">. More information regarding the five TSCA restrictions, including the Final Rules for each substance, maybe found here: </w:t>
      </w:r>
      <w:hyperlink r:id="rId11" w:history="1">
        <w:r w:rsidRPr="006C5E3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https://www.epa.gov/assessing-and-managing-chemicals-under-tsca/persistent-bioaccumulative-and-toxic-pbt-chemicals-under</w:t>
        </w:r>
      </w:hyperlink>
    </w:p>
    <w:p w:rsidR="00693B22" w:rsidRDefault="00693B22" w:rsidP="00693B2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</w:p>
    <w:p w:rsidR="006C5E3B" w:rsidRDefault="00693B22" w:rsidP="006C5E3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Each of the following five TSCA restricted substances has a specific restricted date and maximum concentration value</w:t>
      </w:r>
      <w:r w:rsidR="00230781">
        <w:rPr>
          <w:rFonts w:ascii="Calibri" w:hAnsi="Calibri"/>
          <w:sz w:val="22"/>
          <w:szCs w:val="22"/>
        </w:rPr>
        <w:t xml:space="preserve"> (MCV)</w:t>
      </w:r>
      <w:r>
        <w:rPr>
          <w:rFonts w:ascii="Calibri" w:hAnsi="Calibri"/>
          <w:sz w:val="22"/>
          <w:szCs w:val="22"/>
        </w:rPr>
        <w:t xml:space="preserve">. </w:t>
      </w:r>
      <w:r w:rsidR="006C5E3B">
        <w:rPr>
          <w:rFonts w:ascii="Calibri" w:hAnsi="Calibri"/>
          <w:sz w:val="22"/>
          <w:szCs w:val="22"/>
        </w:rPr>
        <w:t xml:space="preserve">This certifies, to the best of our knowledge, that the restricted chemicals listed below are not intentionally added or present in </w:t>
      </w:r>
      <w:r w:rsidR="003041FB">
        <w:rPr>
          <w:rFonts w:ascii="Calibri" w:hAnsi="Calibri"/>
          <w:sz w:val="22"/>
          <w:szCs w:val="22"/>
        </w:rPr>
        <w:t>the</w:t>
      </w:r>
      <w:r w:rsidR="006C5E3B">
        <w:rPr>
          <w:rFonts w:ascii="Calibri" w:hAnsi="Calibri"/>
          <w:sz w:val="22"/>
          <w:szCs w:val="22"/>
        </w:rPr>
        <w:t xml:space="preserve"> parts, products or materials </w:t>
      </w:r>
      <w:r w:rsidR="003041FB">
        <w:rPr>
          <w:rFonts w:ascii="Calibri" w:hAnsi="Calibri"/>
          <w:sz w:val="22"/>
          <w:szCs w:val="22"/>
        </w:rPr>
        <w:t xml:space="preserve">supplied </w:t>
      </w:r>
      <w:r w:rsidR="006C5E3B">
        <w:rPr>
          <w:rFonts w:ascii="Calibri" w:hAnsi="Calibri"/>
          <w:sz w:val="22"/>
          <w:szCs w:val="22"/>
        </w:rPr>
        <w:t xml:space="preserve">over the corresponding maximum or projected/default MCV as outlined in the Federal Register for reach restricted substance: </w:t>
      </w:r>
    </w:p>
    <w:p w:rsidR="006C5E3B" w:rsidRDefault="006C5E3B" w:rsidP="006C5E3B">
      <w:pPr>
        <w:pStyle w:val="Default"/>
        <w:tabs>
          <w:tab w:val="left" w:pos="334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C5E3B" w:rsidRDefault="006C5E3B" w:rsidP="006C5E3B">
      <w:pPr>
        <w:pStyle w:val="Default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Substance: </w:t>
      </w:r>
      <w:r>
        <w:rPr>
          <w:rFonts w:asciiTheme="minorHAnsi" w:hAnsiTheme="minorHAnsi" w:cstheme="minorHAnsi"/>
          <w:sz w:val="22"/>
          <w:szCs w:val="22"/>
        </w:rPr>
        <w:t>Decabromodiphenyl Ether (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DecaBDE)</w:t>
      </w:r>
    </w:p>
    <w:p w:rsidR="006C5E3B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CAS #: </w:t>
      </w:r>
      <w:r>
        <w:rPr>
          <w:rFonts w:asciiTheme="minorHAnsi" w:hAnsiTheme="minorHAnsi" w:cstheme="minorHAnsi"/>
          <w:b w:val="0"/>
          <w:sz w:val="22"/>
          <w:szCs w:val="22"/>
        </w:rPr>
        <w:t>1163-19-5</w:t>
      </w:r>
    </w:p>
    <w:p w:rsidR="006C5E3B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MCV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: TBD, projected to be .1% of constituent article weight </w:t>
      </w: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2536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Federal Register: </w:t>
      </w:r>
      <w:hyperlink r:id="rId12" w:history="1">
        <w:r w:rsidRPr="002536B3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shd w:val="clear" w:color="auto" w:fill="FFFFFF"/>
          </w:rPr>
          <w:t>https://www.federalregister.gov/documents/2021/01/06/2020-28686/decabromodiphenyl-ether-decabde-regulation-of-persistent-bioaccumulative-and-toxic-chemicals-under</w:t>
        </w:r>
      </w:hyperlink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2536B3">
        <w:rPr>
          <w:rFonts w:asciiTheme="minorHAnsi" w:hAnsiTheme="minorHAnsi" w:cstheme="minorHAnsi"/>
          <w:sz w:val="22"/>
          <w:szCs w:val="22"/>
        </w:rPr>
        <w:t xml:space="preserve">Substance: </w:t>
      </w:r>
      <w:r w:rsidRPr="002536B3">
        <w:rPr>
          <w:rFonts w:asciiTheme="minorHAnsi" w:hAnsiTheme="minorHAnsi" w:cstheme="minorHAnsi"/>
          <w:b w:val="0"/>
          <w:sz w:val="22"/>
          <w:szCs w:val="22"/>
        </w:rPr>
        <w:t>Phenol, isopropylated, phosphate (3:1) ((PIP (3:1))</w:t>
      </w: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2536B3">
        <w:rPr>
          <w:rFonts w:asciiTheme="minorHAnsi" w:hAnsiTheme="minorHAnsi" w:cstheme="minorHAnsi"/>
          <w:sz w:val="22"/>
          <w:szCs w:val="22"/>
        </w:rPr>
        <w:t xml:space="preserve">CAS #: </w:t>
      </w:r>
      <w:r w:rsidRPr="002536B3">
        <w:rPr>
          <w:rFonts w:asciiTheme="minorHAnsi" w:hAnsiTheme="minorHAnsi" w:cstheme="minorHAnsi"/>
          <w:b w:val="0"/>
          <w:sz w:val="22"/>
          <w:szCs w:val="22"/>
        </w:rPr>
        <w:t>68937-41-7</w:t>
      </w: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2536B3">
        <w:rPr>
          <w:rFonts w:asciiTheme="minorHAnsi" w:hAnsiTheme="minorHAnsi" w:cstheme="minorHAnsi"/>
          <w:sz w:val="22"/>
          <w:szCs w:val="22"/>
        </w:rPr>
        <w:t>MCV</w:t>
      </w:r>
      <w:r w:rsidRPr="002536B3">
        <w:rPr>
          <w:rFonts w:asciiTheme="minorHAnsi" w:hAnsiTheme="minorHAnsi" w:cstheme="minorHAnsi"/>
          <w:b w:val="0"/>
          <w:sz w:val="22"/>
          <w:szCs w:val="22"/>
        </w:rPr>
        <w:t>: Not specified; if needed use the default of .1 % of constituent article weight</w:t>
      </w: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536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Federal Register: </w:t>
      </w:r>
      <w:hyperlink r:id="rId13" w:history="1">
        <w:r w:rsidRPr="002536B3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</w:rPr>
          <w:t>https://www.federalregister.gov/documents/2021/01/06/2020-28692/phenol-isopropylated-phosphate-31-pip-31-regulation-of-persistent-bioaccumulative-and-toxic</w:t>
        </w:r>
      </w:hyperlink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536B3">
        <w:rPr>
          <w:rFonts w:asciiTheme="minorHAnsi" w:hAnsiTheme="minorHAnsi" w:cstheme="minorHAnsi"/>
          <w:sz w:val="22"/>
          <w:szCs w:val="22"/>
        </w:rPr>
        <w:t xml:space="preserve">Substance: </w:t>
      </w:r>
      <w:r w:rsidRPr="002536B3">
        <w:rPr>
          <w:rFonts w:asciiTheme="minorHAnsi" w:hAnsiTheme="minorHAnsi" w:cstheme="minorHAnsi"/>
          <w:b w:val="0"/>
          <w:sz w:val="22"/>
          <w:szCs w:val="22"/>
        </w:rPr>
        <w:t>2,4,6-tris(tert-butyl) phenol (2,4,6-TTBP)</w:t>
      </w: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2536B3">
        <w:rPr>
          <w:rFonts w:asciiTheme="minorHAnsi" w:hAnsiTheme="minorHAnsi" w:cstheme="minorHAnsi"/>
          <w:sz w:val="22"/>
          <w:szCs w:val="22"/>
        </w:rPr>
        <w:t xml:space="preserve">CAS #: </w:t>
      </w:r>
      <w:r w:rsidRPr="002536B3">
        <w:rPr>
          <w:rFonts w:asciiTheme="minorHAnsi" w:hAnsiTheme="minorHAnsi" w:cstheme="minorHAnsi"/>
          <w:b w:val="0"/>
          <w:sz w:val="22"/>
          <w:szCs w:val="22"/>
        </w:rPr>
        <w:t>732-26-3</w:t>
      </w: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536B3">
        <w:rPr>
          <w:rFonts w:asciiTheme="minorHAnsi" w:hAnsiTheme="minorHAnsi" w:cstheme="minorHAnsi"/>
          <w:sz w:val="22"/>
          <w:szCs w:val="22"/>
        </w:rPr>
        <w:t xml:space="preserve">MCV: </w:t>
      </w:r>
      <w:r w:rsidRPr="002536B3">
        <w:rPr>
          <w:rFonts w:asciiTheme="minorHAnsi" w:hAnsiTheme="minorHAnsi" w:cstheme="minorHAnsi"/>
          <w:b w:val="0"/>
          <w:sz w:val="22"/>
          <w:szCs w:val="22"/>
        </w:rPr>
        <w:t>.3% by weight of specified container weight</w:t>
      </w: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2536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Federal Register: </w:t>
      </w:r>
      <w:hyperlink r:id="rId14" w:history="1">
        <w:r w:rsidRPr="002536B3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</w:rPr>
          <w:t>https://www.federalregister.gov/documents/2021/01/06/2020-28690/246-tristert-butylphenol-246-ttbp-regulation-of-persistent-bioaccumulative-and-toxic-chemicals-under</w:t>
        </w:r>
      </w:hyperlink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2536B3">
        <w:rPr>
          <w:rFonts w:asciiTheme="minorHAnsi" w:hAnsiTheme="minorHAnsi" w:cstheme="minorHAnsi"/>
          <w:sz w:val="22"/>
          <w:szCs w:val="22"/>
        </w:rPr>
        <w:t xml:space="preserve">Substance: </w:t>
      </w:r>
      <w:r w:rsidRPr="002536B3">
        <w:rPr>
          <w:rFonts w:asciiTheme="minorHAnsi" w:hAnsiTheme="minorHAnsi" w:cstheme="minorHAnsi"/>
          <w:b w:val="0"/>
          <w:sz w:val="22"/>
          <w:szCs w:val="22"/>
        </w:rPr>
        <w:t>Hexachlorobutadiene (HCBD)</w:t>
      </w: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536B3">
        <w:rPr>
          <w:rFonts w:asciiTheme="minorHAnsi" w:hAnsiTheme="minorHAnsi" w:cstheme="minorHAnsi"/>
          <w:sz w:val="22"/>
          <w:szCs w:val="22"/>
        </w:rPr>
        <w:t xml:space="preserve">CAS #:  </w:t>
      </w:r>
      <w:r w:rsidRPr="002536B3">
        <w:rPr>
          <w:rFonts w:asciiTheme="minorHAnsi" w:hAnsiTheme="minorHAnsi" w:cstheme="minorHAnsi"/>
          <w:b w:val="0"/>
          <w:sz w:val="22"/>
          <w:szCs w:val="22"/>
        </w:rPr>
        <w:t>87‐68‐3</w:t>
      </w: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2536B3">
        <w:rPr>
          <w:rFonts w:asciiTheme="minorHAnsi" w:hAnsiTheme="minorHAnsi" w:cstheme="minorHAnsi"/>
          <w:sz w:val="22"/>
          <w:szCs w:val="22"/>
        </w:rPr>
        <w:t xml:space="preserve">MCV: </w:t>
      </w:r>
      <w:r w:rsidRPr="002536B3">
        <w:rPr>
          <w:rFonts w:asciiTheme="minorHAnsi" w:hAnsiTheme="minorHAnsi" w:cstheme="minorHAnsi"/>
          <w:b w:val="0"/>
          <w:sz w:val="22"/>
          <w:szCs w:val="22"/>
        </w:rPr>
        <w:t>TBD,</w:t>
      </w:r>
      <w:r w:rsidRPr="002536B3">
        <w:rPr>
          <w:rFonts w:asciiTheme="minorHAnsi" w:hAnsiTheme="minorHAnsi" w:cstheme="minorHAnsi"/>
          <w:sz w:val="22"/>
          <w:szCs w:val="22"/>
        </w:rPr>
        <w:t xml:space="preserve"> </w:t>
      </w:r>
      <w:r w:rsidRPr="002536B3">
        <w:rPr>
          <w:rFonts w:asciiTheme="minorHAnsi" w:hAnsiTheme="minorHAnsi" w:cstheme="minorHAnsi"/>
          <w:b w:val="0"/>
          <w:sz w:val="22"/>
          <w:szCs w:val="22"/>
        </w:rPr>
        <w:t>projected to be .1% of constituent article weight</w:t>
      </w: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2536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Federal Register: </w:t>
      </w:r>
      <w:hyperlink r:id="rId15" w:history="1">
        <w:r w:rsidRPr="002536B3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shd w:val="clear" w:color="auto" w:fill="FFFFFF"/>
          </w:rPr>
          <w:t>https://www.federalregister.gov/documents/2021/01/06/2020-28693/hexachlorobutadiene-hcbd-regulation-of-persistent-bioaccumulative-and-toxic-chemicals-under-tsca</w:t>
        </w:r>
      </w:hyperlink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2536B3">
        <w:rPr>
          <w:rFonts w:asciiTheme="minorHAnsi" w:hAnsiTheme="minorHAnsi" w:cstheme="minorHAnsi"/>
          <w:sz w:val="22"/>
          <w:szCs w:val="22"/>
        </w:rPr>
        <w:t xml:space="preserve">Substance: </w:t>
      </w:r>
      <w:r w:rsidRPr="002536B3">
        <w:rPr>
          <w:rFonts w:asciiTheme="minorHAnsi" w:hAnsiTheme="minorHAnsi" w:cstheme="minorHAnsi"/>
          <w:b w:val="0"/>
          <w:sz w:val="22"/>
          <w:szCs w:val="22"/>
        </w:rPr>
        <w:t>Pentachlorothiophenol (PCTP)</w:t>
      </w: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536B3">
        <w:rPr>
          <w:rFonts w:asciiTheme="minorHAnsi" w:hAnsiTheme="minorHAnsi" w:cstheme="minorHAnsi"/>
          <w:sz w:val="22"/>
          <w:szCs w:val="22"/>
        </w:rPr>
        <w:t xml:space="preserve">CAS #: </w:t>
      </w:r>
      <w:r w:rsidRPr="002536B3">
        <w:rPr>
          <w:rFonts w:asciiTheme="minorHAnsi" w:hAnsiTheme="minorHAnsi" w:cstheme="minorHAnsi"/>
          <w:b w:val="0"/>
          <w:sz w:val="22"/>
          <w:szCs w:val="22"/>
        </w:rPr>
        <w:t>133-49-3</w:t>
      </w:r>
    </w:p>
    <w:p w:rsidR="006C5E3B" w:rsidRPr="002536B3" w:rsidRDefault="006C5E3B" w:rsidP="006C5E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2536B3">
        <w:rPr>
          <w:rFonts w:asciiTheme="minorHAnsi" w:hAnsiTheme="minorHAnsi" w:cstheme="minorHAnsi"/>
          <w:sz w:val="22"/>
          <w:szCs w:val="22"/>
        </w:rPr>
        <w:t xml:space="preserve">MCV: </w:t>
      </w:r>
      <w:r w:rsidRPr="002536B3">
        <w:rPr>
          <w:rFonts w:asciiTheme="minorHAnsi" w:hAnsiTheme="minorHAnsi" w:cstheme="minorHAnsi"/>
          <w:b w:val="0"/>
          <w:sz w:val="22"/>
          <w:szCs w:val="22"/>
        </w:rPr>
        <w:t>1% of constituent article weight</w:t>
      </w:r>
    </w:p>
    <w:p w:rsidR="006C5E3B" w:rsidRDefault="006C5E3B" w:rsidP="002536B3">
      <w:pPr>
        <w:spacing w:after="0"/>
        <w:ind w:right="-1080"/>
      </w:pPr>
      <w:r w:rsidRPr="002536B3">
        <w:rPr>
          <w:rFonts w:asciiTheme="minorHAnsi" w:hAnsiTheme="minorHAnsi" w:cstheme="minorHAnsi"/>
          <w:b/>
          <w:shd w:val="clear" w:color="auto" w:fill="FFFFFF"/>
        </w:rPr>
        <w:t xml:space="preserve">Federal Register: </w:t>
      </w:r>
      <w:r w:rsidRPr="002536B3">
        <w:rPr>
          <w:rFonts w:asciiTheme="minorHAnsi" w:hAnsiTheme="minorHAnsi" w:cstheme="minorHAnsi"/>
        </w:rPr>
        <w:t xml:space="preserve"> </w:t>
      </w:r>
      <w:hyperlink r:id="rId16" w:history="1">
        <w:r w:rsidRPr="002536B3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https://www.federalregister.gov/documents/2021/01/06/2020-28689/pentachlorothiophenol-pctp-regulation-of-persistent-bioaccumulative-and-toxic-chemicals-under-tsca</w:t>
        </w:r>
      </w:hyperlink>
    </w:p>
    <w:p w:rsidR="006C5E3B" w:rsidRDefault="006C5E3B" w:rsidP="000C1988">
      <w:pPr>
        <w:spacing w:after="0"/>
        <w:ind w:right="-1080"/>
        <w:jc w:val="both"/>
      </w:pPr>
    </w:p>
    <w:p w:rsidR="00677554" w:rsidRPr="00247367" w:rsidRDefault="00677554" w:rsidP="00677554">
      <w:pPr>
        <w:pStyle w:val="Default"/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List of </w:t>
      </w:r>
      <w:r w:rsidRPr="00247367">
        <w:rPr>
          <w:rFonts w:ascii="Calibri" w:hAnsi="Calibri"/>
          <w:b/>
          <w:bCs/>
          <w:sz w:val="22"/>
          <w:szCs w:val="22"/>
        </w:rPr>
        <w:t xml:space="preserve">PART #; </w:t>
      </w:r>
      <w:r>
        <w:rPr>
          <w:rFonts w:ascii="Calibri" w:hAnsi="Calibri"/>
          <w:b/>
          <w:bCs/>
          <w:sz w:val="22"/>
          <w:szCs w:val="22"/>
        </w:rPr>
        <w:t xml:space="preserve">Revision Level; </w:t>
      </w:r>
      <w:r w:rsidRPr="00247367">
        <w:rPr>
          <w:rFonts w:ascii="Calibri" w:hAnsi="Calibri"/>
          <w:b/>
          <w:bCs/>
          <w:sz w:val="22"/>
          <w:szCs w:val="22"/>
        </w:rPr>
        <w:t>PRODUCT DESCRIPTION:</w:t>
      </w:r>
      <w:r w:rsidR="00F5465F" w:rsidRPr="00F5465F">
        <w:rPr>
          <w:rFonts w:ascii="Calibri" w:hAnsi="Calibri"/>
          <w:b/>
          <w:bCs/>
          <w:color w:val="FF0000"/>
          <w:sz w:val="22"/>
          <w:szCs w:val="22"/>
        </w:rPr>
        <w:t>*</w:t>
      </w:r>
    </w:p>
    <w:p w:rsidR="00677554" w:rsidRPr="006D018A" w:rsidRDefault="00677554" w:rsidP="00677554">
      <w:pPr>
        <w:spacing w:after="0"/>
        <w:ind w:left="720"/>
        <w:rPr>
          <w:rFonts w:eastAsia="Times New Roman" w:cs="Arial"/>
          <w:color w:val="FF0000"/>
        </w:rPr>
      </w:pPr>
      <w:r w:rsidRPr="006D018A">
        <w:rPr>
          <w:rFonts w:eastAsia="Times New Roman" w:cs="Arial"/>
          <w:color w:val="FF0000"/>
        </w:rPr>
        <w:t xml:space="preserve">______________: </w:t>
      </w:r>
      <w:r>
        <w:rPr>
          <w:rFonts w:eastAsia="Times New Roman" w:cs="Arial"/>
          <w:color w:val="FF0000"/>
        </w:rPr>
        <w:t xml:space="preserve">______: </w:t>
      </w:r>
      <w:r w:rsidRPr="006D018A">
        <w:rPr>
          <w:rFonts w:eastAsia="Times New Roman" w:cs="Arial"/>
          <w:color w:val="FF0000"/>
        </w:rPr>
        <w:t xml:space="preserve">______________________      </w:t>
      </w:r>
    </w:p>
    <w:p w:rsidR="00677554" w:rsidRPr="006D018A" w:rsidRDefault="00677554" w:rsidP="00677554">
      <w:pPr>
        <w:spacing w:after="0"/>
        <w:ind w:left="720"/>
        <w:rPr>
          <w:rFonts w:eastAsia="Times New Roman" w:cs="Arial"/>
          <w:color w:val="FF0000"/>
        </w:rPr>
      </w:pPr>
      <w:r w:rsidRPr="006D018A">
        <w:rPr>
          <w:rFonts w:eastAsia="Times New Roman" w:cs="Arial"/>
          <w:color w:val="FF0000"/>
        </w:rPr>
        <w:t xml:space="preserve">______________: </w:t>
      </w:r>
      <w:r>
        <w:rPr>
          <w:rFonts w:eastAsia="Times New Roman" w:cs="Arial"/>
          <w:color w:val="FF0000"/>
        </w:rPr>
        <w:t xml:space="preserve">______: </w:t>
      </w:r>
      <w:r w:rsidRPr="006D018A">
        <w:rPr>
          <w:rFonts w:eastAsia="Times New Roman" w:cs="Arial"/>
          <w:color w:val="FF0000"/>
        </w:rPr>
        <w:t xml:space="preserve">______________________      </w:t>
      </w:r>
    </w:p>
    <w:p w:rsidR="00677554" w:rsidRPr="006D018A" w:rsidRDefault="00677554" w:rsidP="00677554">
      <w:pPr>
        <w:spacing w:after="0"/>
        <w:ind w:left="720"/>
        <w:rPr>
          <w:rFonts w:eastAsia="Times New Roman" w:cs="Arial"/>
          <w:color w:val="FF0000"/>
        </w:rPr>
      </w:pPr>
      <w:r w:rsidRPr="006D018A">
        <w:rPr>
          <w:rFonts w:eastAsia="Times New Roman" w:cs="Arial"/>
          <w:color w:val="FF0000"/>
        </w:rPr>
        <w:t xml:space="preserve">______________: </w:t>
      </w:r>
      <w:r>
        <w:rPr>
          <w:rFonts w:eastAsia="Times New Roman" w:cs="Arial"/>
          <w:color w:val="FF0000"/>
        </w:rPr>
        <w:t xml:space="preserve">______: </w:t>
      </w:r>
      <w:r w:rsidRPr="006D018A">
        <w:rPr>
          <w:rFonts w:eastAsia="Times New Roman" w:cs="Arial"/>
          <w:color w:val="FF0000"/>
        </w:rPr>
        <w:t xml:space="preserve">______________________      </w:t>
      </w:r>
    </w:p>
    <w:p w:rsidR="00677554" w:rsidRPr="006D018A" w:rsidRDefault="00677554" w:rsidP="00677554">
      <w:pPr>
        <w:spacing w:after="0"/>
        <w:ind w:left="720"/>
        <w:rPr>
          <w:rFonts w:eastAsia="Times New Roman" w:cs="Arial"/>
          <w:color w:val="FF0000"/>
        </w:rPr>
      </w:pPr>
      <w:r w:rsidRPr="006D018A">
        <w:rPr>
          <w:rFonts w:eastAsia="Times New Roman" w:cs="Arial"/>
          <w:color w:val="FF0000"/>
        </w:rPr>
        <w:t xml:space="preserve">______________: </w:t>
      </w:r>
      <w:r>
        <w:rPr>
          <w:rFonts w:eastAsia="Times New Roman" w:cs="Arial"/>
          <w:color w:val="FF0000"/>
        </w:rPr>
        <w:t xml:space="preserve">______: </w:t>
      </w:r>
      <w:r w:rsidRPr="006D018A">
        <w:rPr>
          <w:rFonts w:eastAsia="Times New Roman" w:cs="Arial"/>
          <w:color w:val="FF0000"/>
        </w:rPr>
        <w:t xml:space="preserve">______________________      </w:t>
      </w:r>
    </w:p>
    <w:p w:rsidR="00677554" w:rsidRPr="00C62C92" w:rsidRDefault="00F5465F" w:rsidP="00677554">
      <w:pPr>
        <w:pStyle w:val="Default"/>
        <w:jc w:val="both"/>
        <w:rPr>
          <w:rFonts w:ascii="Calibri" w:hAnsi="Calibri" w:cs="Calibri"/>
          <w:color w:val="FF0000"/>
          <w:sz w:val="22"/>
          <w:szCs w:val="22"/>
        </w:rPr>
      </w:pPr>
      <w:r w:rsidRPr="00F5465F">
        <w:rPr>
          <w:rFonts w:ascii="Calibri" w:hAnsi="Calibri"/>
          <w:b/>
          <w:bCs/>
          <w:color w:val="FF0000"/>
          <w:sz w:val="22"/>
          <w:szCs w:val="22"/>
        </w:rPr>
        <w:t>*</w:t>
      </w:r>
      <w:r w:rsidR="00677554" w:rsidRPr="00C62C92">
        <w:rPr>
          <w:rFonts w:ascii="Calibri" w:hAnsi="Calibri" w:cs="Calibri"/>
          <w:color w:val="FF0000"/>
          <w:sz w:val="22"/>
          <w:szCs w:val="22"/>
        </w:rPr>
        <w:t>A list of parts may also be attached to this declaration as long as specific part numbers</w:t>
      </w:r>
      <w:r w:rsidR="007E4780">
        <w:rPr>
          <w:rFonts w:ascii="Calibri" w:hAnsi="Calibri" w:cs="Calibri"/>
          <w:color w:val="FF0000"/>
          <w:sz w:val="22"/>
          <w:szCs w:val="22"/>
        </w:rPr>
        <w:t>,</w:t>
      </w:r>
      <w:r w:rsidR="00677554" w:rsidRPr="00C62C92">
        <w:rPr>
          <w:rFonts w:ascii="Calibri" w:hAnsi="Calibri" w:cs="Calibri"/>
          <w:color w:val="FF0000"/>
          <w:sz w:val="22"/>
          <w:szCs w:val="22"/>
        </w:rPr>
        <w:t xml:space="preserve"> or series of part numbers</w:t>
      </w:r>
      <w:r w:rsidR="007E4780">
        <w:rPr>
          <w:rFonts w:ascii="Calibri" w:hAnsi="Calibri" w:cs="Calibri"/>
          <w:color w:val="FF0000"/>
          <w:sz w:val="22"/>
          <w:szCs w:val="22"/>
        </w:rPr>
        <w:t>,</w:t>
      </w:r>
      <w:r w:rsidR="00677554" w:rsidRPr="00C62C92">
        <w:rPr>
          <w:rFonts w:ascii="Calibri" w:hAnsi="Calibri" w:cs="Calibri"/>
          <w:color w:val="FF0000"/>
          <w:sz w:val="22"/>
          <w:szCs w:val="22"/>
        </w:rPr>
        <w:t xml:space="preserve"> are identified.</w:t>
      </w:r>
    </w:p>
    <w:p w:rsidR="00F5465F" w:rsidRDefault="00F5465F" w:rsidP="003A343F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</w:p>
    <w:p w:rsidR="006C4F0B" w:rsidRDefault="003A343F" w:rsidP="003A343F">
      <w:pPr>
        <w:pStyle w:val="Default"/>
        <w:jc w:val="both"/>
        <w:rPr>
          <w:rFonts w:ascii="Calibri" w:hAnsi="Calibri"/>
          <w:sz w:val="22"/>
          <w:szCs w:val="22"/>
        </w:rPr>
      </w:pPr>
      <w:r w:rsidRPr="00B5265B">
        <w:rPr>
          <w:rFonts w:ascii="Calibri" w:hAnsi="Calibri"/>
          <w:b/>
          <w:sz w:val="22"/>
          <w:szCs w:val="22"/>
          <w:u w:val="single"/>
        </w:rPr>
        <w:t xml:space="preserve">Regarding </w:t>
      </w:r>
      <w:r w:rsidR="003C4004">
        <w:rPr>
          <w:rFonts w:ascii="Calibri" w:hAnsi="Calibri"/>
          <w:b/>
          <w:sz w:val="22"/>
          <w:szCs w:val="22"/>
          <w:u w:val="single"/>
        </w:rPr>
        <w:t>R</w:t>
      </w:r>
      <w:r w:rsidRPr="00B5265B">
        <w:rPr>
          <w:rFonts w:ascii="Calibri" w:hAnsi="Calibri"/>
          <w:b/>
          <w:sz w:val="22"/>
          <w:szCs w:val="22"/>
          <w:u w:val="single"/>
        </w:rPr>
        <w:t xml:space="preserve">evision </w:t>
      </w:r>
      <w:r w:rsidR="003C4004">
        <w:rPr>
          <w:rFonts w:ascii="Calibri" w:hAnsi="Calibri"/>
          <w:b/>
          <w:sz w:val="22"/>
          <w:szCs w:val="22"/>
          <w:u w:val="single"/>
        </w:rPr>
        <w:t>L</w:t>
      </w:r>
      <w:r w:rsidRPr="00B5265B">
        <w:rPr>
          <w:rFonts w:ascii="Calibri" w:hAnsi="Calibri"/>
          <w:b/>
          <w:sz w:val="22"/>
          <w:szCs w:val="22"/>
          <w:u w:val="single"/>
        </w:rPr>
        <w:t>evel/</w:t>
      </w:r>
      <w:r w:rsidR="003C4004">
        <w:rPr>
          <w:rFonts w:ascii="Calibri" w:hAnsi="Calibri"/>
          <w:b/>
          <w:sz w:val="22"/>
          <w:szCs w:val="22"/>
          <w:u w:val="single"/>
        </w:rPr>
        <w:t>R</w:t>
      </w:r>
      <w:r w:rsidRPr="00B5265B">
        <w:rPr>
          <w:rFonts w:ascii="Calibri" w:hAnsi="Calibri"/>
          <w:b/>
          <w:sz w:val="22"/>
          <w:szCs w:val="22"/>
          <w:u w:val="single"/>
        </w:rPr>
        <w:t xml:space="preserve">evision </w:t>
      </w:r>
      <w:r w:rsidR="003C4004">
        <w:rPr>
          <w:rFonts w:ascii="Calibri" w:hAnsi="Calibri"/>
          <w:b/>
          <w:sz w:val="22"/>
          <w:szCs w:val="22"/>
          <w:u w:val="single"/>
        </w:rPr>
        <w:t>D</w:t>
      </w:r>
      <w:r w:rsidRPr="00B5265B">
        <w:rPr>
          <w:rFonts w:ascii="Calibri" w:hAnsi="Calibri"/>
          <w:b/>
          <w:sz w:val="22"/>
          <w:szCs w:val="22"/>
          <w:u w:val="single"/>
        </w:rPr>
        <w:t xml:space="preserve">ate </w:t>
      </w:r>
      <w:r w:rsidR="003C4004">
        <w:rPr>
          <w:rFonts w:ascii="Calibri" w:hAnsi="Calibri"/>
          <w:b/>
          <w:sz w:val="22"/>
          <w:szCs w:val="22"/>
          <w:u w:val="single"/>
        </w:rPr>
        <w:t>C</w:t>
      </w:r>
      <w:r w:rsidRPr="00B5265B">
        <w:rPr>
          <w:rFonts w:ascii="Calibri" w:hAnsi="Calibri"/>
          <w:b/>
          <w:sz w:val="22"/>
          <w:szCs w:val="22"/>
          <w:u w:val="single"/>
        </w:rPr>
        <w:t>hanges</w:t>
      </w:r>
      <w:r>
        <w:rPr>
          <w:rFonts w:ascii="Calibri" w:hAnsi="Calibri"/>
          <w:sz w:val="22"/>
          <w:szCs w:val="22"/>
        </w:rPr>
        <w:t xml:space="preserve">: </w:t>
      </w:r>
    </w:p>
    <w:p w:rsidR="003A343F" w:rsidRDefault="003A343F" w:rsidP="003A343F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This declaration </w:t>
      </w:r>
      <w:r w:rsidRPr="00014FC0">
        <w:rPr>
          <w:rFonts w:ascii="Calibri" w:hAnsi="Calibri"/>
          <w:b/>
          <w:sz w:val="22"/>
          <w:szCs w:val="22"/>
        </w:rPr>
        <w:t>IS</w:t>
      </w:r>
      <w:r>
        <w:rPr>
          <w:rFonts w:ascii="Calibri" w:hAnsi="Calibri"/>
          <w:sz w:val="22"/>
          <w:szCs w:val="22"/>
        </w:rPr>
        <w:t xml:space="preserve"> applicable to </w:t>
      </w:r>
      <w:r w:rsidRPr="00AE2AD5">
        <w:rPr>
          <w:rFonts w:ascii="Calibri" w:hAnsi="Calibri"/>
          <w:sz w:val="22"/>
          <w:szCs w:val="22"/>
          <w:u w:val="single"/>
        </w:rPr>
        <w:t xml:space="preserve">all </w:t>
      </w:r>
      <w:r>
        <w:rPr>
          <w:rFonts w:ascii="Calibri" w:hAnsi="Calibri"/>
          <w:sz w:val="22"/>
          <w:szCs w:val="22"/>
          <w:u w:val="single"/>
        </w:rPr>
        <w:t xml:space="preserve">past/future </w:t>
      </w:r>
      <w:r w:rsidRPr="00AE2AD5">
        <w:rPr>
          <w:rFonts w:ascii="Calibri" w:hAnsi="Calibri"/>
          <w:sz w:val="22"/>
          <w:szCs w:val="22"/>
          <w:u w:val="single"/>
        </w:rPr>
        <w:t>revision level and/or revision date cha</w:t>
      </w:r>
      <w:r>
        <w:rPr>
          <w:rFonts w:ascii="Calibri" w:hAnsi="Calibri"/>
          <w:sz w:val="22"/>
          <w:szCs w:val="22"/>
          <w:u w:val="single"/>
        </w:rPr>
        <w:t>nges</w:t>
      </w:r>
      <w:r w:rsidRPr="00003A9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based on the most recent revision level that is/was provided</w:t>
      </w:r>
      <w:r w:rsidR="006C4F0B">
        <w:rPr>
          <w:rFonts w:ascii="Calibri" w:hAnsi="Calibri"/>
          <w:sz w:val="22"/>
          <w:szCs w:val="22"/>
        </w:rPr>
        <w:t xml:space="preserve"> unless indicated below:</w:t>
      </w:r>
      <w:r>
        <w:rPr>
          <w:rFonts w:ascii="Calibri" w:hAnsi="Calibri"/>
          <w:sz w:val="22"/>
          <w:szCs w:val="22"/>
        </w:rPr>
        <w:t xml:space="preserve">  </w:t>
      </w:r>
    </w:p>
    <w:p w:rsidR="003A343F" w:rsidRDefault="003A343F" w:rsidP="003A343F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</w:t>
      </w:r>
      <w:r w:rsidRPr="00014FC0">
        <w:rPr>
          <w:rFonts w:ascii="Calibri" w:hAnsi="Calibri"/>
          <w:sz w:val="22"/>
          <w:szCs w:val="22"/>
        </w:rPr>
        <w:t xml:space="preserve">This declaration </w:t>
      </w:r>
      <w:r w:rsidRPr="00014FC0">
        <w:rPr>
          <w:rFonts w:ascii="Calibri" w:hAnsi="Calibri"/>
          <w:b/>
          <w:sz w:val="22"/>
          <w:szCs w:val="22"/>
        </w:rPr>
        <w:t>IS NOT</w:t>
      </w:r>
      <w:r w:rsidRPr="00014FC0">
        <w:rPr>
          <w:rFonts w:ascii="Calibri" w:hAnsi="Calibri"/>
          <w:sz w:val="22"/>
          <w:szCs w:val="22"/>
        </w:rPr>
        <w:t xml:space="preserve"> applicable to all </w:t>
      </w:r>
      <w:r>
        <w:rPr>
          <w:rFonts w:ascii="Calibri" w:hAnsi="Calibri"/>
          <w:sz w:val="22"/>
          <w:szCs w:val="22"/>
        </w:rPr>
        <w:t>past/</w:t>
      </w:r>
      <w:r w:rsidRPr="00014FC0">
        <w:rPr>
          <w:rFonts w:ascii="Calibri" w:hAnsi="Calibri"/>
          <w:sz w:val="22"/>
          <w:szCs w:val="22"/>
        </w:rPr>
        <w:t>future revision level and/or revision date changes</w:t>
      </w:r>
      <w:r>
        <w:rPr>
          <w:rFonts w:ascii="Calibri" w:hAnsi="Calibri"/>
          <w:sz w:val="22"/>
          <w:szCs w:val="22"/>
        </w:rPr>
        <w:t xml:space="preserve"> based on the most recent revision level that is/was provided. </w:t>
      </w:r>
    </w:p>
    <w:p w:rsidR="003C4004" w:rsidRDefault="003C4004" w:rsidP="00B55E6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3480E" w:rsidRDefault="00C3480E" w:rsidP="00B55E63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3480E" w:rsidRDefault="00C3480E" w:rsidP="00B55E63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</w:p>
    <w:p w:rsidR="003C4004" w:rsidRPr="003C4004" w:rsidRDefault="003C4004" w:rsidP="00B55E63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3C4004">
        <w:rPr>
          <w:rFonts w:ascii="Calibri" w:hAnsi="Calibri"/>
          <w:b/>
          <w:sz w:val="22"/>
          <w:szCs w:val="22"/>
          <w:u w:val="single"/>
        </w:rPr>
        <w:lastRenderedPageBreak/>
        <w:t xml:space="preserve">Regarding Testing: </w:t>
      </w:r>
    </w:p>
    <w:p w:rsidR="00A87A97" w:rsidRDefault="00396465" w:rsidP="00B55E6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Formal testing </w:t>
      </w:r>
      <w:r w:rsidR="003C4004" w:rsidRPr="003C4004">
        <w:rPr>
          <w:rFonts w:ascii="Calibri" w:hAnsi="Calibri"/>
          <w:b/>
          <w:color w:val="auto"/>
          <w:sz w:val="22"/>
          <w:szCs w:val="22"/>
        </w:rPr>
        <w:t>HAS</w:t>
      </w:r>
      <w:r w:rsidR="001E6176" w:rsidRPr="003C4004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been </w:t>
      </w:r>
      <w:r w:rsidR="00A87A97" w:rsidRPr="00A87A97">
        <w:rPr>
          <w:rFonts w:ascii="Calibri" w:hAnsi="Calibri"/>
          <w:sz w:val="22"/>
          <w:szCs w:val="22"/>
        </w:rPr>
        <w:t xml:space="preserve">conducted to determine the presence of these substances in the </w:t>
      </w:r>
      <w:r w:rsidR="00837949">
        <w:rPr>
          <w:rFonts w:ascii="Calibri" w:hAnsi="Calibri"/>
          <w:sz w:val="22"/>
          <w:szCs w:val="22"/>
        </w:rPr>
        <w:t>identified</w:t>
      </w:r>
      <w:r w:rsidR="00A87A97" w:rsidRPr="00A87A97">
        <w:rPr>
          <w:rFonts w:ascii="Calibri" w:hAnsi="Calibri"/>
          <w:sz w:val="22"/>
          <w:szCs w:val="22"/>
        </w:rPr>
        <w:t xml:space="preserve"> </w:t>
      </w:r>
      <w:r w:rsidR="00837949">
        <w:rPr>
          <w:rFonts w:ascii="Calibri" w:hAnsi="Calibri"/>
          <w:sz w:val="22"/>
          <w:szCs w:val="22"/>
        </w:rPr>
        <w:t>product(s)</w:t>
      </w:r>
      <w:r w:rsidR="003C4004">
        <w:rPr>
          <w:rFonts w:ascii="Calibri" w:hAnsi="Calibri"/>
          <w:sz w:val="22"/>
          <w:szCs w:val="22"/>
        </w:rPr>
        <w:t xml:space="preserve"> unless indicated below:</w:t>
      </w:r>
    </w:p>
    <w:p w:rsidR="003C4004" w:rsidRPr="00A87A97" w:rsidRDefault="003C4004" w:rsidP="003C4004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_______Formal testing </w:t>
      </w:r>
      <w:r w:rsidRPr="003C4004">
        <w:rPr>
          <w:rFonts w:ascii="Calibri" w:hAnsi="Calibri"/>
          <w:b/>
          <w:sz w:val="22"/>
          <w:szCs w:val="22"/>
        </w:rPr>
        <w:t>HAS NOT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been </w:t>
      </w:r>
      <w:r w:rsidRPr="00A87A97">
        <w:rPr>
          <w:rFonts w:ascii="Calibri" w:hAnsi="Calibri"/>
          <w:sz w:val="22"/>
          <w:szCs w:val="22"/>
        </w:rPr>
        <w:t xml:space="preserve">conducted to determine the presence of these substances in the </w:t>
      </w:r>
      <w:r w:rsidR="00837949">
        <w:rPr>
          <w:rFonts w:ascii="Calibri" w:hAnsi="Calibri"/>
          <w:sz w:val="22"/>
          <w:szCs w:val="22"/>
        </w:rPr>
        <w:t>identified</w:t>
      </w:r>
      <w:r w:rsidR="00837949" w:rsidRPr="00A87A97">
        <w:rPr>
          <w:rFonts w:ascii="Calibri" w:hAnsi="Calibri"/>
          <w:sz w:val="22"/>
          <w:szCs w:val="22"/>
        </w:rPr>
        <w:t xml:space="preserve"> </w:t>
      </w:r>
      <w:r w:rsidRPr="00A87A97">
        <w:rPr>
          <w:rFonts w:ascii="Calibri" w:hAnsi="Calibri"/>
          <w:sz w:val="22"/>
          <w:szCs w:val="22"/>
        </w:rPr>
        <w:t>p</w:t>
      </w:r>
      <w:r w:rsidR="00837949">
        <w:rPr>
          <w:rFonts w:ascii="Calibri" w:hAnsi="Calibri"/>
          <w:sz w:val="22"/>
          <w:szCs w:val="22"/>
        </w:rPr>
        <w:t>roduct(s)</w:t>
      </w:r>
      <w:r>
        <w:rPr>
          <w:rFonts w:ascii="Calibri" w:hAnsi="Calibri"/>
          <w:sz w:val="22"/>
          <w:szCs w:val="22"/>
        </w:rPr>
        <w:t>.</w:t>
      </w:r>
    </w:p>
    <w:p w:rsidR="003C4004" w:rsidRDefault="003C4004" w:rsidP="00B55E6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12E8B" w:rsidRPr="00312E8B" w:rsidRDefault="00312E8B" w:rsidP="00B55E63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Regarding </w:t>
      </w:r>
      <w:r w:rsidR="002536B3">
        <w:rPr>
          <w:rFonts w:ascii="Calibri" w:hAnsi="Calibri"/>
          <w:b/>
          <w:sz w:val="22"/>
          <w:szCs w:val="22"/>
          <w:u w:val="single"/>
        </w:rPr>
        <w:t xml:space="preserve">EU </w:t>
      </w:r>
      <w:r w:rsidRPr="00312E8B">
        <w:rPr>
          <w:rFonts w:ascii="Calibri" w:hAnsi="Calibri"/>
          <w:b/>
          <w:sz w:val="22"/>
          <w:szCs w:val="22"/>
          <w:u w:val="single"/>
        </w:rPr>
        <w:t>RoHS Exemptions:</w:t>
      </w:r>
    </w:p>
    <w:p w:rsidR="00312E8B" w:rsidRDefault="00312E8B" w:rsidP="00B55E6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_______Applicable RoHS exemptions include the following: __________________</w:t>
      </w:r>
    </w:p>
    <w:p w:rsidR="00312E8B" w:rsidRDefault="00312E8B" w:rsidP="00B55E6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_______No RoHS exemptions apply. </w:t>
      </w:r>
    </w:p>
    <w:p w:rsidR="00312E8B" w:rsidRDefault="00312E8B" w:rsidP="00B55E6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83173" w:rsidRPr="00383173" w:rsidRDefault="00383173" w:rsidP="00383173">
      <w:pPr>
        <w:spacing w:after="0"/>
        <w:rPr>
          <w:rFonts w:cs="Calibri"/>
          <w:b/>
          <w:u w:val="single"/>
        </w:rPr>
      </w:pPr>
      <w:r w:rsidRPr="00383173">
        <w:rPr>
          <w:rFonts w:cs="Calibri"/>
          <w:b/>
          <w:u w:val="single"/>
        </w:rPr>
        <w:t xml:space="preserve">Regarding EU SCIP Database </w:t>
      </w:r>
      <w:r w:rsidR="00472766">
        <w:rPr>
          <w:rFonts w:cs="Calibri"/>
          <w:b/>
          <w:u w:val="single"/>
        </w:rPr>
        <w:t>Submission</w:t>
      </w:r>
      <w:r w:rsidRPr="00383173">
        <w:rPr>
          <w:rFonts w:cs="Calibri"/>
          <w:b/>
          <w:u w:val="single"/>
        </w:rPr>
        <w:t xml:space="preserve">: </w:t>
      </w:r>
    </w:p>
    <w:p w:rsidR="00383173" w:rsidRPr="00DA428C" w:rsidRDefault="00383173" w:rsidP="003831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</w:t>
      </w:r>
      <w:r w:rsidR="00374DD6">
        <w:rPr>
          <w:rFonts w:ascii="Calibri" w:hAnsi="Calibri"/>
          <w:sz w:val="22"/>
          <w:szCs w:val="22"/>
        </w:rPr>
        <w:t xml:space="preserve"> For articles/constituent articles with SVHCs over .1% article/constituent article weight, w</w:t>
      </w:r>
      <w:r>
        <w:rPr>
          <w:rFonts w:ascii="Calibri" w:hAnsi="Calibri"/>
          <w:sz w:val="22"/>
          <w:szCs w:val="22"/>
        </w:rPr>
        <w:t xml:space="preserve">e will submit </w:t>
      </w:r>
      <w:r w:rsidR="00950C83">
        <w:rPr>
          <w:rFonts w:ascii="Calibri" w:hAnsi="Calibri"/>
          <w:sz w:val="22"/>
          <w:szCs w:val="22"/>
        </w:rPr>
        <w:t xml:space="preserve">information for </w:t>
      </w:r>
      <w:r w:rsidR="00374DD6">
        <w:rPr>
          <w:rFonts w:ascii="Calibri" w:hAnsi="Calibri"/>
          <w:sz w:val="22"/>
          <w:szCs w:val="22"/>
        </w:rPr>
        <w:t>these</w:t>
      </w:r>
      <w:r>
        <w:rPr>
          <w:rFonts w:ascii="Calibri" w:hAnsi="Calibri"/>
          <w:sz w:val="22"/>
          <w:szCs w:val="22"/>
        </w:rPr>
        <w:t xml:space="preserve"> articles to the SCIP Database and provide the Sub</w:t>
      </w:r>
      <w:r w:rsidRPr="00DA428C">
        <w:rPr>
          <w:rFonts w:asciiTheme="minorHAnsi" w:hAnsiTheme="minorHAnsi" w:cstheme="minorHAnsi"/>
          <w:sz w:val="22"/>
          <w:szCs w:val="22"/>
        </w:rPr>
        <w:t>mission ID number</w:t>
      </w:r>
      <w:r w:rsidR="00374DD6">
        <w:rPr>
          <w:rFonts w:asciiTheme="minorHAnsi" w:hAnsiTheme="minorHAnsi" w:cstheme="minorHAnsi"/>
          <w:sz w:val="22"/>
          <w:szCs w:val="22"/>
        </w:rPr>
        <w:t>(s)</w:t>
      </w:r>
      <w:r w:rsidRPr="00DA428C">
        <w:rPr>
          <w:rFonts w:asciiTheme="minorHAnsi" w:hAnsiTheme="minorHAnsi" w:cstheme="minorHAnsi"/>
          <w:sz w:val="22"/>
          <w:szCs w:val="22"/>
        </w:rPr>
        <w:t>.</w:t>
      </w:r>
    </w:p>
    <w:p w:rsidR="00383173" w:rsidRPr="00DA428C" w:rsidRDefault="00383173" w:rsidP="003831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A428C">
        <w:rPr>
          <w:rFonts w:asciiTheme="minorHAnsi" w:hAnsiTheme="minorHAnsi" w:cstheme="minorHAnsi"/>
          <w:sz w:val="22"/>
          <w:szCs w:val="22"/>
        </w:rPr>
        <w:t>_______We will not submit our article and constituent article</w:t>
      </w:r>
      <w:r w:rsidR="00374DD6">
        <w:rPr>
          <w:rFonts w:asciiTheme="minorHAnsi" w:hAnsiTheme="minorHAnsi" w:cstheme="minorHAnsi"/>
          <w:sz w:val="22"/>
          <w:szCs w:val="22"/>
        </w:rPr>
        <w:t xml:space="preserve"> information</w:t>
      </w:r>
      <w:r w:rsidRPr="00DA428C">
        <w:rPr>
          <w:rFonts w:asciiTheme="minorHAnsi" w:hAnsiTheme="minorHAnsi" w:cstheme="minorHAnsi"/>
          <w:sz w:val="22"/>
          <w:szCs w:val="22"/>
        </w:rPr>
        <w:t xml:space="preserve"> to the SCIP Database</w:t>
      </w:r>
      <w:r w:rsidR="005435BF">
        <w:rPr>
          <w:rFonts w:asciiTheme="minorHAnsi" w:hAnsiTheme="minorHAnsi" w:cstheme="minorHAnsi"/>
          <w:sz w:val="22"/>
          <w:szCs w:val="22"/>
        </w:rPr>
        <w:t xml:space="preserve"> but will identify SVHCs over .1% article/constituent article weight in the REACH section below.</w:t>
      </w:r>
    </w:p>
    <w:p w:rsidR="00383173" w:rsidRDefault="00383173" w:rsidP="00B55E6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37949" w:rsidRDefault="00837949" w:rsidP="00B55E6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Pr="00A87A97">
        <w:rPr>
          <w:rFonts w:ascii="Calibri" w:hAnsi="Calibri"/>
          <w:sz w:val="22"/>
          <w:szCs w:val="22"/>
        </w:rPr>
        <w:t>information being provided regarding the substances contained in th</w:t>
      </w:r>
      <w:r>
        <w:rPr>
          <w:rFonts w:ascii="Calibri" w:hAnsi="Calibri"/>
          <w:sz w:val="22"/>
          <w:szCs w:val="22"/>
        </w:rPr>
        <w:t>ese</w:t>
      </w:r>
      <w:r w:rsidRPr="00A87A97">
        <w:rPr>
          <w:rFonts w:ascii="Calibri" w:hAnsi="Calibri"/>
          <w:sz w:val="22"/>
          <w:szCs w:val="22"/>
        </w:rPr>
        <w:t xml:space="preserve"> p</w:t>
      </w:r>
      <w:r>
        <w:rPr>
          <w:rFonts w:ascii="Calibri" w:hAnsi="Calibri"/>
          <w:sz w:val="22"/>
          <w:szCs w:val="22"/>
        </w:rPr>
        <w:t>roducts</w:t>
      </w:r>
      <w:r w:rsidR="00D217A0">
        <w:rPr>
          <w:rFonts w:ascii="Calibri" w:hAnsi="Calibri"/>
          <w:sz w:val="22"/>
          <w:szCs w:val="22"/>
        </w:rPr>
        <w:t xml:space="preserve"> is sourced </w:t>
      </w:r>
      <w:r w:rsidRPr="00A87A97">
        <w:rPr>
          <w:rFonts w:ascii="Calibri" w:hAnsi="Calibri"/>
          <w:sz w:val="22"/>
          <w:szCs w:val="22"/>
        </w:rPr>
        <w:t xml:space="preserve">from reviewing information provided by suppliers or producers of the raw materials used in the </w:t>
      </w:r>
      <w:r>
        <w:rPr>
          <w:rFonts w:ascii="Calibri" w:hAnsi="Calibri"/>
          <w:sz w:val="22"/>
          <w:szCs w:val="22"/>
        </w:rPr>
        <w:t>identified product(s).</w:t>
      </w:r>
    </w:p>
    <w:p w:rsidR="00837949" w:rsidRPr="00A87A97" w:rsidRDefault="00837949" w:rsidP="00B55E6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87A97" w:rsidRDefault="00396465" w:rsidP="00B55E63">
      <w:pPr>
        <w:jc w:val="both"/>
      </w:pPr>
      <w:r>
        <w:t>This</w:t>
      </w:r>
      <w:r w:rsidR="00A87A97" w:rsidRPr="00A87A97">
        <w:t xml:space="preserve"> proprietary information is considered business-sensitive and should only be used for </w:t>
      </w:r>
      <w:r>
        <w:t>e</w:t>
      </w:r>
      <w:r w:rsidR="00A87A97" w:rsidRPr="00A87A97">
        <w:t xml:space="preserve">nvironmental, health, and safety purposes. </w:t>
      </w:r>
    </w:p>
    <w:p w:rsidR="00DB0E1A" w:rsidRPr="00B46F6E" w:rsidRDefault="00A87A97" w:rsidP="00DB0E1A">
      <w:pPr>
        <w:spacing w:after="0"/>
      </w:pPr>
      <w:r>
        <w:rPr>
          <w:rFonts w:cs="Calibri"/>
        </w:rPr>
        <w:t>COMPANY NAME:</w:t>
      </w:r>
      <w:r w:rsidR="003560BA">
        <w:rPr>
          <w:rFonts w:cs="Calibri"/>
        </w:rPr>
        <w:t xml:space="preserve"> </w:t>
      </w:r>
      <w:r w:rsidR="000A0871" w:rsidRPr="000A0871">
        <w:rPr>
          <w:rFonts w:cs="Calibri"/>
          <w:color w:val="FF0000"/>
          <w:u w:val="single"/>
        </w:rPr>
        <w:t>NAME OF SUPPLIER</w:t>
      </w:r>
      <w:r w:rsidR="00DB0E1A">
        <w:rPr>
          <w:rFonts w:cs="Calibri"/>
          <w:color w:val="FF0000"/>
        </w:rPr>
        <w:tab/>
      </w:r>
      <w:r w:rsidR="00DB0E1A">
        <w:rPr>
          <w:rFonts w:cs="Calibri"/>
          <w:color w:val="FF0000"/>
        </w:rPr>
        <w:tab/>
      </w:r>
      <w:r w:rsidR="00DB0E1A">
        <w:rPr>
          <w:rFonts w:cs="Calibri"/>
          <w:color w:val="FF0000"/>
        </w:rPr>
        <w:tab/>
      </w:r>
      <w:r w:rsidR="00DB0E1A" w:rsidRPr="00B46F6E">
        <w:t xml:space="preserve">Phone: </w:t>
      </w:r>
      <w:r w:rsidR="00DB0E1A" w:rsidRPr="000A0871">
        <w:rPr>
          <w:color w:val="FF0000"/>
        </w:rPr>
        <w:t>_</w:t>
      </w:r>
      <w:r w:rsidR="00DB0E1A">
        <w:rPr>
          <w:color w:val="FF0000"/>
        </w:rPr>
        <w:t>_____</w:t>
      </w:r>
      <w:r w:rsidR="00DB0E1A" w:rsidRPr="000A0871">
        <w:rPr>
          <w:color w:val="FF0000"/>
        </w:rPr>
        <w:t>_________</w:t>
      </w:r>
      <w:r w:rsidR="00DB0E1A">
        <w:softHyphen/>
      </w:r>
      <w:r w:rsidR="00DB0E1A">
        <w:softHyphen/>
      </w:r>
      <w:r w:rsidR="00DB0E1A">
        <w:softHyphen/>
      </w:r>
    </w:p>
    <w:p w:rsidR="00DB0E1A" w:rsidRDefault="00B46F6E" w:rsidP="00DB0E1A">
      <w:pPr>
        <w:autoSpaceDE w:val="0"/>
        <w:autoSpaceDN w:val="0"/>
        <w:adjustRightInd w:val="0"/>
        <w:spacing w:after="0"/>
        <w:rPr>
          <w:rFonts w:cs="Calibri"/>
        </w:rPr>
      </w:pPr>
      <w:r w:rsidRPr="00B46F6E">
        <w:t xml:space="preserve">Address:  </w:t>
      </w:r>
      <w:r w:rsidR="006D018A" w:rsidRPr="000A0871">
        <w:rPr>
          <w:color w:val="FF0000"/>
        </w:rPr>
        <w:t>____________________________</w:t>
      </w:r>
      <w:r w:rsidR="00DB0E1A">
        <w:rPr>
          <w:color w:val="FF0000"/>
        </w:rPr>
        <w:tab/>
      </w:r>
      <w:r w:rsidR="00DB0E1A">
        <w:rPr>
          <w:color w:val="FF0000"/>
        </w:rPr>
        <w:tab/>
      </w:r>
      <w:r w:rsidR="00DB0E1A">
        <w:rPr>
          <w:rFonts w:cs="Calibri"/>
        </w:rPr>
        <w:t xml:space="preserve">CERTIFIED BY: </w:t>
      </w:r>
      <w:r w:rsidR="00DB0E1A" w:rsidRPr="006D018A">
        <w:rPr>
          <w:rFonts w:cs="Calibri"/>
          <w:color w:val="FF0000"/>
          <w:u w:val="single"/>
        </w:rPr>
        <w:t>NAME, TITLE</w:t>
      </w:r>
      <w:r w:rsidR="00DB0E1A">
        <w:rPr>
          <w:rFonts w:cs="Calibri"/>
          <w:color w:val="FF0000"/>
          <w:u w:val="single"/>
        </w:rPr>
        <w:t>_______</w:t>
      </w:r>
      <w:r w:rsidR="00DB0E1A" w:rsidRPr="006D018A">
        <w:rPr>
          <w:rFonts w:cs="Calibri"/>
          <w:color w:val="FF0000"/>
          <w:u w:val="single"/>
        </w:rPr>
        <w:tab/>
        <w:t>____</w:t>
      </w:r>
    </w:p>
    <w:p w:rsidR="00A87A97" w:rsidRDefault="00A87A97" w:rsidP="00A87A97">
      <w:pPr>
        <w:autoSpaceDE w:val="0"/>
        <w:autoSpaceDN w:val="0"/>
        <w:adjustRightInd w:val="0"/>
        <w:spacing w:after="0"/>
        <w:rPr>
          <w:rFonts w:cs="Calibri"/>
        </w:rPr>
      </w:pPr>
    </w:p>
    <w:p w:rsidR="00A87A97" w:rsidRDefault="008F0E54" w:rsidP="00A87A97">
      <w:pPr>
        <w:autoSpaceDE w:val="0"/>
        <w:autoSpaceDN w:val="0"/>
        <w:adjustRightInd w:val="0"/>
        <w:spacing w:after="0"/>
        <w:rPr>
          <w:rFonts w:cs="Calibri"/>
          <w:color w:val="FF0000"/>
        </w:rPr>
      </w:pPr>
      <w:r w:rsidRPr="008F0E54">
        <w:rPr>
          <w:rFonts w:cs="Calibri"/>
          <w:color w:val="000000"/>
        </w:rPr>
        <w:t>Signature:</w:t>
      </w:r>
      <w:r>
        <w:rPr>
          <w:rFonts w:cs="Calibri"/>
          <w:color w:val="FF0000"/>
        </w:rPr>
        <w:t xml:space="preserve"> </w:t>
      </w:r>
      <w:r w:rsidR="00A87A97" w:rsidRPr="006D018A">
        <w:rPr>
          <w:rFonts w:cs="Calibri"/>
          <w:color w:val="FF0000"/>
        </w:rPr>
        <w:t>______________________________</w:t>
      </w:r>
      <w:r w:rsidR="00B46F6E" w:rsidRPr="006D018A">
        <w:rPr>
          <w:rFonts w:cs="Calibri"/>
          <w:color w:val="FF0000"/>
        </w:rPr>
        <w:tab/>
      </w:r>
      <w:r w:rsidR="00B46F6E" w:rsidRPr="006D018A">
        <w:rPr>
          <w:rFonts w:cs="Calibri"/>
          <w:color w:val="FF0000"/>
        </w:rPr>
        <w:tab/>
      </w:r>
      <w:r w:rsidRPr="008F0E54">
        <w:rPr>
          <w:rFonts w:cs="Calibri"/>
          <w:color w:val="000000"/>
        </w:rPr>
        <w:t>Date:</w:t>
      </w:r>
      <w:r w:rsidR="00A87A97" w:rsidRPr="006D018A">
        <w:rPr>
          <w:rFonts w:cs="Calibri"/>
          <w:color w:val="FF0000"/>
        </w:rPr>
        <w:t xml:space="preserve"> ______________________________</w:t>
      </w:r>
    </w:p>
    <w:p w:rsidR="00E250EE" w:rsidRDefault="00E250EE" w:rsidP="00A87A97">
      <w:pPr>
        <w:autoSpaceDE w:val="0"/>
        <w:autoSpaceDN w:val="0"/>
        <w:adjustRightInd w:val="0"/>
        <w:spacing w:after="0"/>
        <w:rPr>
          <w:rFonts w:cs="Calibri"/>
          <w:color w:val="FF0000"/>
        </w:rPr>
      </w:pPr>
    </w:p>
    <w:p w:rsidR="00B648C4" w:rsidRDefault="00E250EE" w:rsidP="00E250EE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FB30BE">
        <w:rPr>
          <w:rFonts w:cs="Calibri"/>
          <w:b/>
        </w:rPr>
        <w:t xml:space="preserve">REACH </w:t>
      </w:r>
      <w:r w:rsidR="00B648C4">
        <w:rPr>
          <w:rFonts w:cs="Calibri"/>
          <w:b/>
        </w:rPr>
        <w:t xml:space="preserve">Information: </w:t>
      </w:r>
    </w:p>
    <w:p w:rsidR="00E250EE" w:rsidRDefault="00E250EE" w:rsidP="00E250EE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FB30BE">
        <w:rPr>
          <w:rFonts w:cs="Calibri"/>
          <w:b/>
        </w:rPr>
        <w:t>Article 33 Communication</w:t>
      </w:r>
      <w:r w:rsidR="00B648C4">
        <w:rPr>
          <w:rFonts w:cs="Calibri"/>
          <w:b/>
        </w:rPr>
        <w:t xml:space="preserve"> and Constituent Part Number</w:t>
      </w:r>
      <w:r w:rsidRPr="00FB30BE">
        <w:rPr>
          <w:rFonts w:cs="Calibri"/>
          <w:b/>
        </w:rPr>
        <w:t xml:space="preserve"> </w:t>
      </w:r>
      <w:r w:rsidR="00B648C4">
        <w:rPr>
          <w:rFonts w:cs="Calibri"/>
          <w:b/>
        </w:rPr>
        <w:t>Identification for SCIP</w:t>
      </w:r>
    </w:p>
    <w:p w:rsidR="00A847B4" w:rsidRPr="00A847B4" w:rsidRDefault="00A847B4" w:rsidP="00E250EE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16"/>
          <w:szCs w:val="16"/>
        </w:rPr>
      </w:pPr>
    </w:p>
    <w:tbl>
      <w:tblPr>
        <w:tblW w:w="11560" w:type="dxa"/>
        <w:tblInd w:w="-800" w:type="dxa"/>
        <w:tblLook w:val="04A0"/>
      </w:tblPr>
      <w:tblGrid>
        <w:gridCol w:w="1820"/>
        <w:gridCol w:w="3480"/>
        <w:gridCol w:w="2960"/>
        <w:gridCol w:w="3300"/>
      </w:tblGrid>
      <w:tr w:rsidR="00A847B4" w:rsidRPr="00A847B4" w:rsidTr="00677FC3">
        <w:trPr>
          <w:trHeight w:val="72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jc w:val="center"/>
              <w:rPr>
                <w:rFonts w:eastAsia="Times New Roman" w:cs="Calibri"/>
                <w:color w:val="000000"/>
                <w:u w:val="single"/>
              </w:rPr>
            </w:pPr>
            <w:r w:rsidRPr="00A847B4">
              <w:rPr>
                <w:rFonts w:eastAsia="Times New Roman" w:cs="Calibri"/>
                <w:color w:val="000000"/>
                <w:u w:val="single"/>
              </w:rPr>
              <w:t>Part #: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B4" w:rsidRPr="00A847B4" w:rsidRDefault="00A847B4" w:rsidP="003B5098">
            <w:pPr>
              <w:spacing w:after="0"/>
              <w:jc w:val="center"/>
              <w:rPr>
                <w:rFonts w:eastAsia="Times New Roman" w:cs="Calibri"/>
                <w:color w:val="000000"/>
                <w:u w:val="single"/>
              </w:rPr>
            </w:pPr>
            <w:r w:rsidRPr="00A847B4">
              <w:rPr>
                <w:rFonts w:eastAsia="Times New Roman" w:cs="Calibri"/>
                <w:color w:val="000000"/>
                <w:u w:val="single"/>
              </w:rPr>
              <w:t>Constituent</w:t>
            </w:r>
            <w:r w:rsidR="00677FC3">
              <w:rPr>
                <w:rFonts w:eastAsia="Times New Roman" w:cs="Calibri"/>
                <w:color w:val="000000"/>
                <w:u w:val="single"/>
              </w:rPr>
              <w:t>/Component</w:t>
            </w:r>
            <w:r w:rsidRPr="00A847B4">
              <w:rPr>
                <w:rFonts w:eastAsia="Times New Roman" w:cs="Calibri"/>
                <w:color w:val="000000"/>
                <w:u w:val="single"/>
              </w:rPr>
              <w:t xml:space="preserve"> </w:t>
            </w:r>
            <w:r w:rsidR="00677FC3">
              <w:rPr>
                <w:rFonts w:eastAsia="Times New Roman" w:cs="Calibri"/>
                <w:color w:val="000000"/>
                <w:u w:val="single"/>
              </w:rPr>
              <w:t>Article</w:t>
            </w:r>
            <w:r w:rsidR="003B5098">
              <w:rPr>
                <w:rFonts w:eastAsia="Times New Roman" w:cs="Calibri"/>
                <w:color w:val="000000"/>
                <w:u w:val="single"/>
              </w:rPr>
              <w:t xml:space="preserve"> </w:t>
            </w:r>
            <w:r w:rsidRPr="00A847B4">
              <w:rPr>
                <w:rFonts w:eastAsia="Times New Roman" w:cs="Calibri"/>
                <w:color w:val="000000"/>
                <w:u w:val="single"/>
              </w:rPr>
              <w:t>Part Number</w:t>
            </w:r>
            <w:r w:rsidR="00677FC3">
              <w:rPr>
                <w:rFonts w:eastAsia="Times New Roman" w:cs="Calibri"/>
                <w:color w:val="000000"/>
                <w:u w:val="single"/>
              </w:rPr>
              <w:t xml:space="preserve"> &amp; </w:t>
            </w:r>
            <w:r w:rsidR="003B5098">
              <w:rPr>
                <w:rFonts w:eastAsia="Times New Roman" w:cs="Calibri"/>
                <w:color w:val="000000"/>
                <w:u w:val="single"/>
              </w:rPr>
              <w:t>Location/</w:t>
            </w:r>
            <w:r w:rsidR="00677FC3">
              <w:rPr>
                <w:rFonts w:eastAsia="Times New Roman" w:cs="Calibri"/>
                <w:color w:val="000000"/>
                <w:u w:val="single"/>
              </w:rPr>
              <w:t>Description with</w:t>
            </w:r>
            <w:r w:rsidR="00374DD6">
              <w:rPr>
                <w:rFonts w:eastAsia="Times New Roman" w:cs="Calibri"/>
                <w:color w:val="000000"/>
                <w:u w:val="single"/>
              </w:rPr>
              <w:t xml:space="preserve"> SVHCs over .1%</w:t>
            </w:r>
            <w:r w:rsidRPr="00A847B4">
              <w:rPr>
                <w:rFonts w:eastAsia="Times New Roman" w:cs="Calibri"/>
                <w:color w:val="000000"/>
                <w:u w:val="single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jc w:val="center"/>
              <w:rPr>
                <w:rFonts w:eastAsia="Times New Roman" w:cs="Calibri"/>
                <w:color w:val="000000"/>
                <w:u w:val="single"/>
              </w:rPr>
            </w:pPr>
            <w:r w:rsidRPr="00A847B4">
              <w:rPr>
                <w:rFonts w:eastAsia="Times New Roman" w:cs="Calibri"/>
                <w:color w:val="000000"/>
                <w:u w:val="single"/>
              </w:rPr>
              <w:t>SVHC name and CAS# :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jc w:val="center"/>
              <w:rPr>
                <w:rFonts w:eastAsia="Times New Roman" w:cs="Calibri"/>
                <w:color w:val="000000"/>
                <w:u w:val="single"/>
              </w:rPr>
            </w:pPr>
            <w:r w:rsidRPr="00A847B4">
              <w:rPr>
                <w:rFonts w:eastAsia="Times New Roman" w:cs="Calibri"/>
                <w:color w:val="000000"/>
                <w:u w:val="single"/>
              </w:rPr>
              <w:t>Safe Use Info.</w:t>
            </w:r>
          </w:p>
        </w:tc>
      </w:tr>
      <w:tr w:rsidR="00A847B4" w:rsidRPr="00A847B4" w:rsidTr="00A847B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847B4" w:rsidRPr="00A847B4" w:rsidTr="00A847B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847B4" w:rsidRPr="00A847B4" w:rsidTr="00A847B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847B4" w:rsidRPr="00A847B4" w:rsidTr="00A847B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847B4" w:rsidRPr="00A847B4" w:rsidTr="00A847B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B4" w:rsidRPr="00A847B4" w:rsidRDefault="00A847B4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83173" w:rsidRPr="00A847B4" w:rsidTr="00A847B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83173" w:rsidRPr="00A847B4" w:rsidTr="00A847B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</w:p>
        </w:tc>
      </w:tr>
      <w:tr w:rsidR="00383173" w:rsidRPr="00A847B4" w:rsidTr="00A847B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83173" w:rsidRPr="00A847B4" w:rsidTr="00A847B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  <w:r w:rsidRPr="00A847B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83173" w:rsidRPr="00A847B4" w:rsidTr="00A847B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73" w:rsidRPr="00A847B4" w:rsidRDefault="00383173" w:rsidP="00A847B4">
            <w:pPr>
              <w:spacing w:after="0"/>
              <w:rPr>
                <w:rFonts w:eastAsia="Times New Roman" w:cs="Calibri"/>
                <w:color w:val="000000"/>
              </w:rPr>
            </w:pPr>
          </w:p>
        </w:tc>
      </w:tr>
    </w:tbl>
    <w:p w:rsidR="00E250EE" w:rsidRPr="006D018A" w:rsidRDefault="00E250EE" w:rsidP="00A87A97">
      <w:pPr>
        <w:autoSpaceDE w:val="0"/>
        <w:autoSpaceDN w:val="0"/>
        <w:adjustRightInd w:val="0"/>
        <w:spacing w:after="0"/>
        <w:rPr>
          <w:rFonts w:cs="Calibri"/>
          <w:color w:val="FF0000"/>
        </w:rPr>
      </w:pPr>
    </w:p>
    <w:sectPr w:rsidR="00E250EE" w:rsidRPr="006D018A" w:rsidSect="009C135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7C" w:rsidRDefault="002F117C" w:rsidP="006D018A">
      <w:pPr>
        <w:spacing w:after="0"/>
      </w:pPr>
      <w:r>
        <w:separator/>
      </w:r>
    </w:p>
  </w:endnote>
  <w:endnote w:type="continuationSeparator" w:id="0">
    <w:p w:rsidR="002F117C" w:rsidRDefault="002F117C" w:rsidP="006D01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7C" w:rsidRDefault="002F117C" w:rsidP="006D018A">
      <w:pPr>
        <w:spacing w:after="0"/>
      </w:pPr>
      <w:r>
        <w:separator/>
      </w:r>
    </w:p>
  </w:footnote>
  <w:footnote w:type="continuationSeparator" w:id="0">
    <w:p w:rsidR="002F117C" w:rsidRDefault="002F117C" w:rsidP="006D018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11D0"/>
    <w:multiLevelType w:val="hybridMultilevel"/>
    <w:tmpl w:val="F91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A97"/>
    <w:rsid w:val="00003A99"/>
    <w:rsid w:val="00013FB5"/>
    <w:rsid w:val="00014FC0"/>
    <w:rsid w:val="000367CF"/>
    <w:rsid w:val="00067337"/>
    <w:rsid w:val="00083516"/>
    <w:rsid w:val="000A0871"/>
    <w:rsid w:val="000A1EAD"/>
    <w:rsid w:val="000C1988"/>
    <w:rsid w:val="000D4213"/>
    <w:rsid w:val="000F20B9"/>
    <w:rsid w:val="000F20F4"/>
    <w:rsid w:val="000F4DA2"/>
    <w:rsid w:val="000F6190"/>
    <w:rsid w:val="001146F5"/>
    <w:rsid w:val="001177D2"/>
    <w:rsid w:val="001256C6"/>
    <w:rsid w:val="00151043"/>
    <w:rsid w:val="001752C8"/>
    <w:rsid w:val="001822BD"/>
    <w:rsid w:val="0019307B"/>
    <w:rsid w:val="001A4939"/>
    <w:rsid w:val="001A5579"/>
    <w:rsid w:val="001D44DD"/>
    <w:rsid w:val="001E6176"/>
    <w:rsid w:val="001F0613"/>
    <w:rsid w:val="001F4705"/>
    <w:rsid w:val="0020240A"/>
    <w:rsid w:val="002058A2"/>
    <w:rsid w:val="00212ADF"/>
    <w:rsid w:val="00212CB2"/>
    <w:rsid w:val="00216ADC"/>
    <w:rsid w:val="00224C31"/>
    <w:rsid w:val="00230781"/>
    <w:rsid w:val="0024439D"/>
    <w:rsid w:val="00247367"/>
    <w:rsid w:val="002536B3"/>
    <w:rsid w:val="00260F69"/>
    <w:rsid w:val="00287CCC"/>
    <w:rsid w:val="002936B9"/>
    <w:rsid w:val="002A4AA0"/>
    <w:rsid w:val="002B3622"/>
    <w:rsid w:val="002B3F49"/>
    <w:rsid w:val="002C1DE5"/>
    <w:rsid w:val="002E2B89"/>
    <w:rsid w:val="002F0893"/>
    <w:rsid w:val="002F117C"/>
    <w:rsid w:val="002F4E48"/>
    <w:rsid w:val="003041FB"/>
    <w:rsid w:val="00312E8B"/>
    <w:rsid w:val="00314E29"/>
    <w:rsid w:val="003560BA"/>
    <w:rsid w:val="0035782A"/>
    <w:rsid w:val="00374DD6"/>
    <w:rsid w:val="00376C1F"/>
    <w:rsid w:val="00382658"/>
    <w:rsid w:val="00383173"/>
    <w:rsid w:val="0038529F"/>
    <w:rsid w:val="0039429E"/>
    <w:rsid w:val="00396465"/>
    <w:rsid w:val="003A343F"/>
    <w:rsid w:val="003B31F2"/>
    <w:rsid w:val="003B5098"/>
    <w:rsid w:val="003B555E"/>
    <w:rsid w:val="003B70E7"/>
    <w:rsid w:val="003C2DBD"/>
    <w:rsid w:val="003C4004"/>
    <w:rsid w:val="003C7912"/>
    <w:rsid w:val="003D2BD9"/>
    <w:rsid w:val="003E124B"/>
    <w:rsid w:val="003F1EE5"/>
    <w:rsid w:val="003F381E"/>
    <w:rsid w:val="00404E1E"/>
    <w:rsid w:val="004246B8"/>
    <w:rsid w:val="00427806"/>
    <w:rsid w:val="00434B72"/>
    <w:rsid w:val="00435D43"/>
    <w:rsid w:val="004417EA"/>
    <w:rsid w:val="00447D4D"/>
    <w:rsid w:val="00452487"/>
    <w:rsid w:val="004575F5"/>
    <w:rsid w:val="004669CE"/>
    <w:rsid w:val="00472766"/>
    <w:rsid w:val="004A003D"/>
    <w:rsid w:val="004B0A32"/>
    <w:rsid w:val="004D3089"/>
    <w:rsid w:val="004D6D54"/>
    <w:rsid w:val="004E14D8"/>
    <w:rsid w:val="0050479D"/>
    <w:rsid w:val="005141CD"/>
    <w:rsid w:val="00535C46"/>
    <w:rsid w:val="005435BF"/>
    <w:rsid w:val="005622B0"/>
    <w:rsid w:val="00596407"/>
    <w:rsid w:val="005B4996"/>
    <w:rsid w:val="005D28DA"/>
    <w:rsid w:val="005E0AEC"/>
    <w:rsid w:val="005E370C"/>
    <w:rsid w:val="00602120"/>
    <w:rsid w:val="00602E32"/>
    <w:rsid w:val="006153C1"/>
    <w:rsid w:val="00627551"/>
    <w:rsid w:val="0066023E"/>
    <w:rsid w:val="00662EB3"/>
    <w:rsid w:val="00667065"/>
    <w:rsid w:val="00677554"/>
    <w:rsid w:val="00677FC3"/>
    <w:rsid w:val="006905EE"/>
    <w:rsid w:val="00693B22"/>
    <w:rsid w:val="00694509"/>
    <w:rsid w:val="006B1D1C"/>
    <w:rsid w:val="006B77C6"/>
    <w:rsid w:val="006C4F0B"/>
    <w:rsid w:val="006C5E3B"/>
    <w:rsid w:val="006D018A"/>
    <w:rsid w:val="006D0304"/>
    <w:rsid w:val="006D4829"/>
    <w:rsid w:val="006D4DAD"/>
    <w:rsid w:val="006D59AE"/>
    <w:rsid w:val="006D6597"/>
    <w:rsid w:val="006D6FC9"/>
    <w:rsid w:val="006E0E75"/>
    <w:rsid w:val="006E6352"/>
    <w:rsid w:val="006F2F73"/>
    <w:rsid w:val="007248FB"/>
    <w:rsid w:val="00733CCC"/>
    <w:rsid w:val="00751E6B"/>
    <w:rsid w:val="00794033"/>
    <w:rsid w:val="007A6123"/>
    <w:rsid w:val="007B0502"/>
    <w:rsid w:val="007B5E2D"/>
    <w:rsid w:val="007C3665"/>
    <w:rsid w:val="007C3F30"/>
    <w:rsid w:val="007E4780"/>
    <w:rsid w:val="007E79BE"/>
    <w:rsid w:val="007F5F0D"/>
    <w:rsid w:val="0081696F"/>
    <w:rsid w:val="008213CB"/>
    <w:rsid w:val="00821C5B"/>
    <w:rsid w:val="0082665E"/>
    <w:rsid w:val="00836614"/>
    <w:rsid w:val="00837949"/>
    <w:rsid w:val="00867C40"/>
    <w:rsid w:val="008837FB"/>
    <w:rsid w:val="008926E3"/>
    <w:rsid w:val="0089368D"/>
    <w:rsid w:val="008964E1"/>
    <w:rsid w:val="008A525A"/>
    <w:rsid w:val="008B1A42"/>
    <w:rsid w:val="008B235C"/>
    <w:rsid w:val="008C190B"/>
    <w:rsid w:val="008D431C"/>
    <w:rsid w:val="008F010A"/>
    <w:rsid w:val="008F0E54"/>
    <w:rsid w:val="008F5009"/>
    <w:rsid w:val="008F50AA"/>
    <w:rsid w:val="00903351"/>
    <w:rsid w:val="00906AEE"/>
    <w:rsid w:val="00910ABC"/>
    <w:rsid w:val="00911F1A"/>
    <w:rsid w:val="00921399"/>
    <w:rsid w:val="009251DC"/>
    <w:rsid w:val="009404F8"/>
    <w:rsid w:val="00950C83"/>
    <w:rsid w:val="00965E8C"/>
    <w:rsid w:val="00967EA5"/>
    <w:rsid w:val="00975E0E"/>
    <w:rsid w:val="00995C91"/>
    <w:rsid w:val="009A0989"/>
    <w:rsid w:val="009B20BF"/>
    <w:rsid w:val="009B5AC7"/>
    <w:rsid w:val="009C1356"/>
    <w:rsid w:val="009D7229"/>
    <w:rsid w:val="009F6F5E"/>
    <w:rsid w:val="00A01320"/>
    <w:rsid w:val="00A03D48"/>
    <w:rsid w:val="00A17357"/>
    <w:rsid w:val="00A206BA"/>
    <w:rsid w:val="00A21416"/>
    <w:rsid w:val="00A22B96"/>
    <w:rsid w:val="00A2482C"/>
    <w:rsid w:val="00A45C6A"/>
    <w:rsid w:val="00A51415"/>
    <w:rsid w:val="00A514E0"/>
    <w:rsid w:val="00A545D2"/>
    <w:rsid w:val="00A578D4"/>
    <w:rsid w:val="00A705B0"/>
    <w:rsid w:val="00A81DBA"/>
    <w:rsid w:val="00A847B4"/>
    <w:rsid w:val="00A87A97"/>
    <w:rsid w:val="00AC0A6B"/>
    <w:rsid w:val="00AC1A23"/>
    <w:rsid w:val="00AD6C15"/>
    <w:rsid w:val="00AE2AD5"/>
    <w:rsid w:val="00B10C2F"/>
    <w:rsid w:val="00B14997"/>
    <w:rsid w:val="00B23BA5"/>
    <w:rsid w:val="00B46F6E"/>
    <w:rsid w:val="00B5265B"/>
    <w:rsid w:val="00B528C9"/>
    <w:rsid w:val="00B55E63"/>
    <w:rsid w:val="00B648C4"/>
    <w:rsid w:val="00B678E7"/>
    <w:rsid w:val="00B7707C"/>
    <w:rsid w:val="00B843C0"/>
    <w:rsid w:val="00B85B61"/>
    <w:rsid w:val="00B94647"/>
    <w:rsid w:val="00B965BB"/>
    <w:rsid w:val="00B97814"/>
    <w:rsid w:val="00BA059B"/>
    <w:rsid w:val="00BA623B"/>
    <w:rsid w:val="00BC2B68"/>
    <w:rsid w:val="00BF6E6D"/>
    <w:rsid w:val="00C242C8"/>
    <w:rsid w:val="00C3480E"/>
    <w:rsid w:val="00C37C6C"/>
    <w:rsid w:val="00C40A59"/>
    <w:rsid w:val="00C425AE"/>
    <w:rsid w:val="00C431BD"/>
    <w:rsid w:val="00C51874"/>
    <w:rsid w:val="00C52CDE"/>
    <w:rsid w:val="00C62C92"/>
    <w:rsid w:val="00C86BE6"/>
    <w:rsid w:val="00C873AB"/>
    <w:rsid w:val="00CA7A56"/>
    <w:rsid w:val="00CB2D33"/>
    <w:rsid w:val="00CD2389"/>
    <w:rsid w:val="00CE08F1"/>
    <w:rsid w:val="00CF1BC5"/>
    <w:rsid w:val="00CF1DAB"/>
    <w:rsid w:val="00CF1FED"/>
    <w:rsid w:val="00CF5750"/>
    <w:rsid w:val="00D01887"/>
    <w:rsid w:val="00D15ED3"/>
    <w:rsid w:val="00D217A0"/>
    <w:rsid w:val="00D22FC4"/>
    <w:rsid w:val="00D30F16"/>
    <w:rsid w:val="00D362B7"/>
    <w:rsid w:val="00D41408"/>
    <w:rsid w:val="00D52171"/>
    <w:rsid w:val="00D539EE"/>
    <w:rsid w:val="00D61E95"/>
    <w:rsid w:val="00D66026"/>
    <w:rsid w:val="00D72DF4"/>
    <w:rsid w:val="00D91AD9"/>
    <w:rsid w:val="00DB0E1A"/>
    <w:rsid w:val="00DD2146"/>
    <w:rsid w:val="00E170AB"/>
    <w:rsid w:val="00E250EE"/>
    <w:rsid w:val="00E53108"/>
    <w:rsid w:val="00E60A46"/>
    <w:rsid w:val="00E65E14"/>
    <w:rsid w:val="00E7613C"/>
    <w:rsid w:val="00E810D6"/>
    <w:rsid w:val="00E8331D"/>
    <w:rsid w:val="00E96D6F"/>
    <w:rsid w:val="00EB1A82"/>
    <w:rsid w:val="00EB61BC"/>
    <w:rsid w:val="00EB74CF"/>
    <w:rsid w:val="00EC70D6"/>
    <w:rsid w:val="00ED22F3"/>
    <w:rsid w:val="00ED4DDD"/>
    <w:rsid w:val="00ED67FF"/>
    <w:rsid w:val="00EF5592"/>
    <w:rsid w:val="00F01A88"/>
    <w:rsid w:val="00F03449"/>
    <w:rsid w:val="00F04E7C"/>
    <w:rsid w:val="00F06AA6"/>
    <w:rsid w:val="00F120DD"/>
    <w:rsid w:val="00F14147"/>
    <w:rsid w:val="00F159FA"/>
    <w:rsid w:val="00F20E17"/>
    <w:rsid w:val="00F233E2"/>
    <w:rsid w:val="00F252A4"/>
    <w:rsid w:val="00F31FFA"/>
    <w:rsid w:val="00F41AA3"/>
    <w:rsid w:val="00F44214"/>
    <w:rsid w:val="00F4705B"/>
    <w:rsid w:val="00F507D4"/>
    <w:rsid w:val="00F5465F"/>
    <w:rsid w:val="00F708A3"/>
    <w:rsid w:val="00F73BF8"/>
    <w:rsid w:val="00F74AB2"/>
    <w:rsid w:val="00F844EA"/>
    <w:rsid w:val="00F853B1"/>
    <w:rsid w:val="00F8590F"/>
    <w:rsid w:val="00F96953"/>
    <w:rsid w:val="00FB27A2"/>
    <w:rsid w:val="00FD6249"/>
    <w:rsid w:val="00FE445C"/>
    <w:rsid w:val="00FE68C7"/>
    <w:rsid w:val="00FF4BE1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97"/>
    <w:pPr>
      <w:spacing w:after="20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C5E3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A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7A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D0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18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D0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18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04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6F5E"/>
  </w:style>
  <w:style w:type="paragraph" w:styleId="ListParagraph">
    <w:name w:val="List Paragraph"/>
    <w:basedOn w:val="Normal"/>
    <w:uiPriority w:val="34"/>
    <w:qFormat/>
    <w:rsid w:val="00383173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E3B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CELEX:32006R1907" TargetMode="External"/><Relationship Id="rId13" Type="http://schemas.openxmlformats.org/officeDocument/2006/relationships/hyperlink" Target="https://www.federalregister.gov/documents/2021/01/06/2020-28692/phenol-isopropylated-phosphate-31-pip-31-regulation-of-persistent-bioaccumulative-and-toxi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deralregister.gov/documents/2021/01/06/2020-28686/decabromodiphenyl-ether-decabde-regulation-of-persistent-bioaccumulative-and-toxic-chemicals-und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ederalregister.gov/documents/2021/01/06/2020-28689/pentachlorothiophenol-pctp-regulation-of-persistent-bioaccumulative-and-toxic-chemicals-under-ts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.gov/assessing-and-managing-chemicals-under-tsca/persistent-bioaccumulative-and-toxic-pbt-chemicals-und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deralregister.gov/documents/2021/01/06/2020-28693/hexachlorobutadiene-hcbd-regulation-of-persistent-bioaccumulative-and-toxic-chemicals-under-tsca" TargetMode="External"/><Relationship Id="rId10" Type="http://schemas.openxmlformats.org/officeDocument/2006/relationships/hyperlink" Target="https://echa.europa.eu/substances-restricted-under-re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ha.europa.eu/web/guest/candidate-list-table" TargetMode="External"/><Relationship Id="rId14" Type="http://schemas.openxmlformats.org/officeDocument/2006/relationships/hyperlink" Target="https://www.federalregister.gov/documents/2021/01/06/2020-28690/246-tristert-butylphenol-246-ttbp-regulation-of-persistent-bioaccumulative-and-toxic-chemicals-u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5E32-522A-47BC-854A-3DBC1D11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Links>
    <vt:vector size="12" baseType="variant">
      <vt:variant>
        <vt:i4>5636120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http://eur-lex.europa.eu/LexUriServ/LexUriServ.do?uri=OJ:L:2009:164:0007:0031:en:PDF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http://echa.europa.eu/web/guest/candidate-list-table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Pandre2_GCG</dc:creator>
  <cp:lastModifiedBy>Pandre</cp:lastModifiedBy>
  <cp:revision>2</cp:revision>
  <dcterms:created xsi:type="dcterms:W3CDTF">2021-07-12T17:59:00Z</dcterms:created>
  <dcterms:modified xsi:type="dcterms:W3CDTF">2021-07-12T17:59:00Z</dcterms:modified>
</cp:coreProperties>
</file>